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SOC2 Audit 2024 Technical Specification</w:t>
      </w:r>
    </w:p>
    <w:p>
      <w:r>
        <w:t>Technical specification — AcmeSystems SOC2 Audit 2024</w:t>
      </w:r>
    </w:p>
    <w:p>
      <w:r>
        <w:t/>
      </w:r>
    </w:p>
    <w:p>
      <w:r>
        <w:t>Purpose: define a secure service interface. Requirements: TLS transport, audit events, role-based authorization, and 99.9% availability. Acceptance: integration tests pass in staging.</w:t>
      </w:r>
    </w:p>
  </w:body>
</w:document>
</file>