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DA ARTICULAÇÃO COXOFEMORAL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  <w:r w:rsidDel="00000000" w:rsidR="00000000" w:rsidRPr="00000000">
        <w:rPr>
          <w:sz w:val="20"/>
          <w:szCs w:val="20"/>
          <w:rtl w:val="0"/>
        </w:rPr>
        <w:t xml:space="preserve"> Realizadas aquisições volumétricas com posteriores reconstruções multiplanares. Imagens obtidas sem uso de meio de contraste endovenoso.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com coeficiente de atenuação normal, sem evidências de lesões focais.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Cabeça femoral congruente, com esfericidade preservada.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 articular coxofemoral preservado.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Cobertura acetabular de morfologia e atenuação normais.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Trocânteres maior e menor sem alterações.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Sínfise púbica congruente, com espaço articular preservado.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Planos musculoadiposos adjacentes sem alterações.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achados de significado patológico detectáveis por este método de imagem.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