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CRÂNIO E PESCOÇO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Técnica:</w:t>
      </w:r>
      <w:r w:rsidDel="00000000" w:rsidR="00000000" w:rsidRPr="00000000">
        <w:rPr>
          <w:sz w:val="20"/>
          <w:szCs w:val="20"/>
          <w:rtl w:val="0"/>
        </w:rPr>
        <w:t xml:space="preserve"> aquisições volumétricas, antes e após o uso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Crânio: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 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 Parênquima cerebelar preservado.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 Fissuras e sulcos entre os giros corticais anatômicos.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Glândulas parótidas e submandibulares simétricas, com morfologia e atenuação usuais.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Nasofaringe e orofaringe de aspecto usual, com coluna aérea preservada.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parafaríngeos e mastigatórios simétricos, com morfologia normal.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seios piriformes, valéculas, epiglote e espaços paralaríngeos sem alterações.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 tireoide eutópica, com morfologia, densidade e dimensões normais.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infraglóticos sem alterações significativas.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pérvias, com trajeto, calibre e paredes normais.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