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CRÂNIO E PESCOÇO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Técnica:</w:t>
      </w:r>
      <w:r w:rsidDel="00000000" w:rsidR="00000000" w:rsidRPr="00000000">
        <w:rPr>
          <w:sz w:val="20"/>
          <w:szCs w:val="20"/>
          <w:rtl w:val="0"/>
        </w:rPr>
        <w:t xml:space="preserve"> aquisições volumétricas, sem o uso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Crânio: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coeficientes de atenuação normais. 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cerebral preservado. Parênquima cerebelar preservado.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basais anatômicas. Fissuras e sulcos entre os giros corticais anatômicos.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ventricular normoposicionado, com dimensões normais.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extra-axiais ou de desvio de estruturas da linha mediana.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ateromatose.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Pescoço: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Coluna aérea da faringe e laringe preservada.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valéculas, epiglote e traqueia de aspecto habitual.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supraglóticos e infraglóticos sem alterações significativas.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trajeto normal.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ou de aumento de partes moles da região cervical.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