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CRÂNIO E TÓRAX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Crânio: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cerebral com coeficientes de atenuação normais.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Tronco cerebral preservado. Parênquima cerebelar preservado.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Cisternas basais anatômicas. Fissuras e sulcos entre os giros corticais anatômicos.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ventricular normoposicionado, com dimensões normais.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coleções extra-axiais ou de desvio de estruturas da linha mediana.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sinais de ateromatose.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 ou de pneumotórax.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Pulmões com expansividade e atenuação usuais.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os brônquios principais com trajeto e calibre habituais.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usual.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torácica com trajeto e calibre usuais.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