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TOMOGRAFIA COMPUTADORIZADA DE PELVE</w:t>
      </w:r>
    </w:p>
    <w:p w:rsidR="00000000" w:rsidDel="00000000" w:rsidP="00000000" w:rsidRDefault="00000000" w:rsidRPr="00000000" w14:paraId="00000002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Informe clínico:</w:t>
      </w:r>
      <w:r w:rsidDel="00000000" w:rsidR="00000000" w:rsidRPr="00000000">
        <w:rPr>
          <w:sz w:val="20"/>
          <w:szCs w:val="20"/>
          <w:rtl w:val="0"/>
        </w:rPr>
        <w:t xml:space="preserve"> X</w:t>
      </w:r>
    </w:p>
    <w:p w:rsidR="00000000" w:rsidDel="00000000" w:rsidP="00000000" w:rsidRDefault="00000000" w:rsidRPr="00000000" w14:paraId="00000004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Técnica do exame:</w:t>
      </w:r>
    </w:p>
    <w:p w:rsidR="00000000" w:rsidDel="00000000" w:rsidP="00000000" w:rsidRDefault="00000000" w:rsidRPr="00000000" w14:paraId="00000006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Realizadas aquisições volumétricas com posteriores reconstruções multiplanares. Imagens obtidas sem uso de meio de contraste endovenoso.</w:t>
      </w:r>
    </w:p>
    <w:p w:rsidR="00000000" w:rsidDel="00000000" w:rsidP="00000000" w:rsidRDefault="00000000" w:rsidRPr="00000000" w14:paraId="00000007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Aspectos observados:</w:t>
      </w:r>
    </w:p>
    <w:p w:rsidR="00000000" w:rsidDel="00000000" w:rsidP="00000000" w:rsidRDefault="00000000" w:rsidRPr="00000000" w14:paraId="00000009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Bexiga com forma, contornos e capacidade normais. Paredes com espessura usual.</w:t>
      </w:r>
    </w:p>
    <w:p w:rsidR="00000000" w:rsidDel="00000000" w:rsidP="00000000" w:rsidRDefault="00000000" w:rsidRPr="00000000" w14:paraId="0000000A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Planos gordurosos pélvicos preservados.</w:t>
      </w:r>
    </w:p>
    <w:p w:rsidR="00000000" w:rsidDel="00000000" w:rsidP="00000000" w:rsidRDefault="00000000" w:rsidRPr="00000000" w14:paraId="0000000B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Útero de dimensões usuais, com forma e contornos normais.</w:t>
      </w:r>
    </w:p>
    <w:p w:rsidR="00000000" w:rsidDel="00000000" w:rsidP="00000000" w:rsidRDefault="00000000" w:rsidRPr="00000000" w14:paraId="0000000C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Ausência de lesões expansivas nas regiões anexiais.</w:t>
      </w:r>
    </w:p>
    <w:p w:rsidR="00000000" w:rsidDel="00000000" w:rsidP="00000000" w:rsidRDefault="00000000" w:rsidRPr="00000000" w14:paraId="0000000D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Ausência de linfonodomegalias pélvicas e/ou inguinais.</w:t>
      </w:r>
    </w:p>
    <w:p w:rsidR="00000000" w:rsidDel="00000000" w:rsidP="00000000" w:rsidRDefault="00000000" w:rsidRPr="00000000" w14:paraId="0000000E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Estruturas vasculares de aspecto normal.</w:t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Estrutura óssea preservada.</w:t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IMPRESSÃO:</w:t>
      </w:r>
    </w:p>
    <w:p w:rsidR="00000000" w:rsidDel="00000000" w:rsidP="00000000" w:rsidRDefault="00000000" w:rsidRPr="00000000" w14:paraId="00000012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Ausência de alterações significativas identificáveis por este método de imagem.</w:t>
      </w:r>
    </w:p>
    <w:p w:rsidR="00000000" w:rsidDel="00000000" w:rsidP="00000000" w:rsidRDefault="00000000" w:rsidRPr="00000000" w14:paraId="00000013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A impressão diagnóstica é de probabilidade, devendo ser considerada em conjunto com dados clínicos e laboratoriais, além de outros exames de imagem prévios e/ou subsequentes. Somente seu médico tem condições de interpretar o conjunto de todas estas informações.</w:t>
      </w:r>
      <w:r w:rsidDel="00000000" w:rsidR="00000000" w:rsidRPr="00000000">
        <w:rPr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15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