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de calibre usual e paredes normoespessas.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sinais de dilatação das estruturas pielocalicinais. Espaços perirrenais livres.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