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FACE E PESCOÇO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antes e após o uso de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Órbitas simétricas e de morfologia habitual.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Seios paranasais normodesenvolvidos e normoaerados.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Septo nasal alinhado.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Ossos nasais simétricos.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Arcos zigomáticos anatômicos.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da maxila e mandíbula íntegra.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Articulações temporomandibulares congruentes.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Partes moles sem alterações.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Glândulas parótidas e submandibulares simétricas, com morfologia e atenuação usuais.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Nasofaringe e orofaringe de aspecto usual, com coluna aérea preservada.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parafaríngeos e mastigatórios simétricos, com morfologia normal.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Cordas vocais, seios piriformes, valéculas, epiglote, espaços paralaríngeos e comissura anterior de aspecto habitual.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Glândula tireoide eutópica, com morfologia, densidade e dimensões normais, e aspecto homogêneo.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cervicais infraglóticos sem alterações significativas.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pérvias, com trajeto, calibre e paredes normais.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linhas de fratura.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