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40" w:lineRule="auto"/>
        <w:jc w:val="center"/>
      </w:pPr>
      <w:r>
        <w:rPr>
          <w:rFonts w:ascii="Arial" w:hAnsi="Arial"/>
          <w:b/>
          <w:i w:val="0"/>
          <w:sz w:val="20"/>
        </w:rPr>
        <w:t>ANGIOTOMOGRAFIA COMPUTADORIZADA DO TÓRAX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Técnica do exame: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Realizadas aquisições volumétricas com posteriores reconstruções multiplanares. Imagens obtidas durante a administração do meio de contraste endovenoso.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Aspectos observados à angiotomografia: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Vasos mediastinais com trajetos e calibres normais, não se identificando sinais de defeitos de enchimento nas artérias pulmonares, em ramos segmentares ou subsegmentares.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Coração de tamanho normal.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Outros achados do tórax: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derrame pleural.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Parênquima pulmonar com densidade tomográfica usual, sem sinais de consolidações.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Traqueia e brônquios principais sem alterações.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Mediastino de aspecto anatômico.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Ausência de linfonodomegalias.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>Estrutura óssea preservada.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IMPRESSÃO:</w:t>
      </w:r>
    </w:p>
    <w:p>
      <w:pPr>
        <w:spacing w:before="0" w:after="0" w:line="240" w:lineRule="auto"/>
        <w:jc w:val="both"/>
      </w:pPr>
      <w:r>
        <w:rPr>
          <w:rFonts w:ascii="Arial" w:hAnsi="Arial"/>
          <w:b w:val="0"/>
          <w:i w:val="0"/>
          <w:sz w:val="20"/>
        </w:rPr>
        <w:t xml:space="preserve">Estudo </w:t>
      </w:r>
      <w:r>
        <w:rPr>
          <w:rFonts w:ascii="Arial" w:hAnsi="Arial"/>
          <w:b/>
          <w:i w:val="0"/>
          <w:sz w:val="20"/>
        </w:rPr>
        <w:t>negativo</w:t>
      </w:r>
      <w:r>
        <w:rPr>
          <w:rFonts w:ascii="Arial" w:hAnsi="Arial"/>
          <w:b w:val="0"/>
          <w:i w:val="0"/>
          <w:sz w:val="20"/>
        </w:rPr>
        <w:t xml:space="preserve"> para TEP.</w:t>
      </w:r>
    </w:p>
    <w:p>
      <w:pPr>
        <w:spacing w:before="0" w:after="0" w:line="240" w:lineRule="auto"/>
        <w:jc w:val="both"/>
      </w:pPr>
      <w:r>
        <w:rPr>
          <w:rFonts w:ascii="Arial" w:hAnsi="Arial"/>
          <w:b/>
          <w:i w:val="0"/>
          <w:sz w:val="20"/>
        </w:rPr>
        <w:t>Ausência de outras alterações significativas detectáveis por este método de imagem.</w:t>
      </w:r>
    </w:p>
    <w:p>
      <w:pPr>
        <w:spacing w:before="0" w:after="0" w:line="240" w:lineRule="auto"/>
        <w:jc w:val="both"/>
      </w:pPr>
      <w:r/>
    </w:p>
    <w:p>
      <w:pPr>
        <w:spacing w:before="0" w:after="0" w:line="240" w:lineRule="auto"/>
        <w:jc w:val="center"/>
      </w:pPr>
      <w:r>
        <w:rPr>
          <w:rFonts w:ascii="Arial" w:hAnsi="Arial"/>
          <w:b w:val="0"/>
          <w:i/>
          <w:sz w:val="16"/>
        </w:rPr>
        <w:t>A impressão diagnóstica é de probabilidade, devendo ser considerada em conjunto com dados clínicos e laboratoriais, além de outros exames de imagem prévios e/ou subsequentes. Somente seu médico tem condições de interpretar o conjunto de todas estas informações.</w:t>
      </w:r>
    </w:p>
    <w:p>
      <w:pPr>
        <w:spacing w:before="0" w:after="0" w:line="240" w:lineRule="auto"/>
        <w:jc w:val="both"/>
      </w:pPr>
      <w:r/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