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CRÂNIO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Informe clínico: X.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coeficientes de atenuação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TOMOGRAFIA COMPUTADORIZADA DE CRÂNIO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Exame realizado em caráter de urgência.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linhas de fratura ou de sinais de sangramento.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encefálico de atenuação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liquóricos intra e extraventriculares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Linha mediana centrada.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Exame realizado em caráter de urgência.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Exame realizado em caráter de urgência.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TOMOGRAFIA COMPUTADORIZADA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Informe clínico: X.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 usual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dilatação de vias biliares intra e extra-hepáticas.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TOMOGRAFIA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volumétricas,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Exame realizado em caráter de urgência.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