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DE CRÂNIO E PESCOÇO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Técnica:</w:t>
      </w:r>
      <w:r>
        <w:rPr>
          <w:rFonts w:ascii="Arial" w:hAnsi="Arial"/>
          <w:b w:val="0"/>
          <w:i w:val="0"/>
          <w:sz w:val="20"/>
        </w:rPr>
        <w:t xml:space="preserve"> aquisições volumétricas, antes e após o uso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Crânio: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 xml:space="preserve">Parênquima cerebral com coeficientes de atenuação normais. 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Tronco cerebral preservado. Parênquima cerebelar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Cisternas basais anatômicas. Fissuras e sulcos entre os giros corticais anatômicos.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Sistema ventricular normoposicionado, com dimensões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coleções extra-axiais ou de desvio de estruturas da linha mediana.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sinais de ateromatose.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Pescoço: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Glândulas parótidas e submandibulares simétricas, com morfologia e atenuação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Nasofaringe e orofaringe de aspecto usual, com coluna aérea preservada.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parafaríngeos e mastigatórios simétricos, com morfologia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Cordas vocais, seios piriformes, valéculas, epiglote e espaços paralaríngeos sem alterações.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Glândula tireoide eutópica, com morfologia, densidade e dimensões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cervicais infraglóticos sem alterações significativas.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pérvias, com trajeto, calibre e paredes normais.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Estrutura óssea: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