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DE CRÂNIO E PESCOÇO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Técnica:</w:t>
      </w:r>
      <w:r>
        <w:rPr>
          <w:rFonts w:ascii="Arial" w:hAnsi="Arial"/>
          <w:b w:val="0"/>
          <w:i w:val="0"/>
          <w:sz w:val="20"/>
        </w:rPr>
        <w:t xml:space="preserve"> aquisições volumétricas, sem o uso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Crânio: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 xml:space="preserve">Parênquima cerebral com coeficientes de atenuação normais. 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Tronco cerebral preservado. Parênquima cerebelar preservado.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Cisternas basais anatômicas. Fissuras e sulcos entre os giros corticais anatômicos.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Sistema ventricular normoposicionado, com dimensões normais.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coleções extra-axiais ou de desvio de estruturas da linha mediana.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sinais de ateromatose.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Pescoço: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Coluna aérea da faringe e laringe preservada.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Cordas vocais, valéculas, epiglote e traqueia de aspecto habitual.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Espaços cervicais supraglóticos e infraglóticos sem alterações significativas.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Estruturas vasculares de trajeto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coleções ou de aumento de partes moles da região cervical.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íntegra.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Estrutura óssea: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preservada.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alterações significativas identificáveis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>
        <w:rPr>
          <w:rFonts w:ascii="Arial" w:hAnsi="Arial"/>
          <w:b w:val="0"/>
          <w:i/>
          <w:sz w:val="16"/>
        </w:rP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