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Informe clínico:</w:t>
      </w:r>
      <w:r>
        <w:rPr>
          <w:rFonts w:ascii="Arial" w:hAnsi="Arial"/>
          <w:b w:val="0"/>
          <w:i w:val="0"/>
          <w:sz w:val="20"/>
        </w:rPr>
        <w:t xml:space="preserve"> XXX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Cranio: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cerebral com coeficientes de atenuação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Tronco cerebral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cerebelar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Cisternas basais anatômicas.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Fissuras e sulcos entre os giros corticais anatômicos.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Sistema ventricular normoposicionado, com dimensões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coleções extra-axiais ou de desvio de estruturas da linha mediana.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ateromatose.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Superfícies e espaços pleurais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nódulos ou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com calibres normais e paredes normoespessas.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anatômico, com tecido gorduroso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axilares, mediastinais ou hilares.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homogênea, com realce uniforme pelo meio de contraste. Veia porta e veias hepáticas pérvias, de calibre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sinais de dilatação de vias biliares intra e extra-hepáticas.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biliar tópica,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tópicos, de dimensões, estrutura e contornos usuais. Ausência de sinais de dilatação das estruturas pielocalicinais. Espaços perirrenais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forma, contornos e capacidade normais. Paredes com espessura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Planos gordurosos pélvicos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abdominais, pélvicas e/ou inguinais.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de aspecto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