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FACE E PESCOÇO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Órbitas simétricas e de morfologia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Seios paranasais normodesenvolvidos e normoaerados.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Septo nasal alinhado.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Ossos nasais simétricos.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Arcos zigomáticos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da maxila e mandíbula íntegra.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Articulações temporomandibulares congruentes.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Partes moles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Glândulas parótidas e submandibulares simétricas, com morfologia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Nasofaringe e orofaringe de aspecto usual, com coluna aérea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parafaríngeos e mastigatórios simétricos, com morfologia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Cordas vocais, seios piriformes, valéculas, epiglote, espaços paralaríngeos e comissura anterior de aspecto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 tireoide eutópica, com morfologia, densidade e dimensões normais, e aspecto homogêneo.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cervicais infraglóticos sem alterações significativas.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pérvias, com trajeto, calibre e paredes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linhas de fratura.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