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0"/>
        </w:rPr>
        <w:t>TOMOGRAFIA COMPUTADORIZADA DE PESCOÇO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 xml:space="preserve">Informe clínico: </w:t>
      </w:r>
      <w:r>
        <w:rPr>
          <w:rFonts w:ascii="Arial" w:hAnsi="Arial"/>
          <w:b w:val="0"/>
          <w:i w:val="0"/>
          <w:sz w:val="20"/>
        </w:rPr>
        <w:t>XXX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Técnica do exame: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Realizadas aquisições volumétricas com posteriores reconstruções multiplanares. Imagens obtidas antes e após o uso do meio de contraste endovenoso.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Aspectos observados: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Glândulas parótidas e submandibulares simétricas, com morfologia e atenuação usuais.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Nasofaringe e orofaringe de aspecto usual, com coluna aérea preservada.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Espaços parafaríngeos e mastigatórios simétricos, com morfologia normal.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Cordas vocais, seios piriformes, valéculas, epiglote, espaços paralaríngeos e comissura anterior de aspecto habitual.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Glândula tireoide eutópica, com morfologia, densidade e dimensões normais, e aspecto homogêneo.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Espaços cervicais infraglóticos sem alterações significativas.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linfonodomegalias.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Estruturas vasculares pérvias, com trajeto, calibre e paredes normais.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IMPRESSÃO:</w:t>
      </w:r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Ausência de alterações significativas identificáveis por este método de imagem.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/>
          <w:sz w:val="16"/>
        </w:rPr>
        <w:t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</w:p>
    <w:p>
      <w:pPr>
        <w:spacing w:before="0" w:after="0" w:line="240" w:lineRule="auto"/>
        <w:jc w:val="both"/>
      </w:pP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