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TOMOGRAFIA COMPUTADORIZADA DE PESCOÇO E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sem o uso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Pescoço: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Glândulas parótidas e submandibulares simétricas, com morfologia e atenuação usuais.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Nasofaringe e orofaringe de aspecto usual, com coluna aérea preservada.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parafaríngeos e mastigatórios simétricos, com morfologia normal.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Cordas vocais, seios piriformes, valéculas, epiglote, espaços paralaríngeos e comissura anterior de aspecto habitual.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Glândula tireoide eutópica, com morfologia, densidade e dimensões normais, e aspecto homogêneo.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Espaços cervicais infraglóticos sem alterações significativas.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Estruturas vasculares com trajeto, calibre e paredes normais.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Superfícies e espaços pleurais livres.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nódulos ou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os brônquios principais de calibres usuais e paredes normoespessas.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anatômico, com tecido gorduroso preservado.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 axilares, mediastinais ou hilares.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dimensões usuais, com contornos preservados.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Grandes vasos sem evidências de anormalidades.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Estrutura óssea: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alterações significativas identificáveis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