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TÓRAX, ABDOME E PELVE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Informe clínico:</w:t>
      </w:r>
      <w:r>
        <w:rPr>
          <w:rFonts w:ascii="Arial" w:hAnsi="Arial"/>
          <w:b w:val="0"/>
          <w:i w:val="0"/>
          <w:sz w:val="20"/>
        </w:rPr>
        <w:t xml:space="preserve"> XXX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sem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Tórax: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Superfícies e espaços pleurais livres.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Parênquima pulmonar com densidade tomográfica usual, sem sinais de nódulos ou consolidações.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Traqueia e os brônquios principais de calibre usual e paredes normoespessas.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Mediastino de aspecto anatômico, com tecido gorduroso preservado.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 axilares, mediastinais ou hilares.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Coração de dimensões usuais, com contornos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Grandes vasos sem evidências de anormalidades.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Abdome e pelve: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Fígado de dimensões usuais, contornos regulares e densidade homogênea.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-Vesícula biliar tópica, com características habituais.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Baço de dimensões usuais, contornos regulares e densidade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Pâncreas com dimensões usuais e estrutura anatômica, sem dilatação do duto principal.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Adrenais de aspecto anatômico.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Rins tópicos, de dimensões, estrutura e contornos usuais. Ausência de sinais de dilatação das estruturas pielocalicinais. Espaços perirrenais livres.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Bexiga com forma, contornos e capacidade normais. Paredes com espessura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Planos gordurosos pélvicos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Demais estruturas pélvicas sem alterações.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 abdominais, pélvicas e/ou inguinais.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Estruturas vasculares de aspecto normal.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Estrutura óssea: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preservada.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