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 w:line="240" w:lineRule="auto"/>
        <w:jc w:val="center"/>
      </w:pPr>
      <w:r>
        <w:rPr>
          <w:rFonts w:ascii="Arial" w:hAnsi="Arial"/>
          <w:b/>
          <w:i w:val="0"/>
          <w:sz w:val="20"/>
        </w:rPr>
        <w:t>TOMOGRAFIA DE TÓRAX, ABDOME E PELVE</w:t>
      </w:r>
    </w:p>
    <w:p>
      <w:pPr>
        <w:spacing w:before="0" w:after="0" w:line="240" w:lineRule="auto"/>
        <w:jc w:val="both"/>
      </w:pPr>
      <w:r/>
    </w:p>
    <w:p>
      <w:pPr>
        <w:spacing w:before="0" w:after="0" w:line="240" w:lineRule="auto"/>
        <w:jc w:val="both"/>
      </w:pPr>
      <w:r>
        <w:rPr>
          <w:rFonts w:ascii="Arial" w:hAnsi="Arial"/>
          <w:b/>
          <w:i w:val="0"/>
          <w:sz w:val="20"/>
        </w:rPr>
        <w:t>Técnica do exame:</w:t>
      </w:r>
      <w:r>
        <w:rPr>
          <w:rFonts w:ascii="Arial" w:hAnsi="Arial"/>
          <w:b w:val="0"/>
          <w:i w:val="0"/>
          <w:sz w:val="20"/>
        </w:rPr>
        <w:t xml:space="preserve"> Realizadas aquisições volumétricas com posteriores reconstruções multiplanares. Imagens obtidas antes e após o uso do meio de contraste endovenoso.</w:t>
      </w:r>
    </w:p>
    <w:p>
      <w:pPr>
        <w:spacing w:before="0" w:after="0" w:line="240" w:lineRule="auto"/>
        <w:jc w:val="both"/>
      </w:pPr>
      <w:r/>
    </w:p>
    <w:p>
      <w:pPr>
        <w:spacing w:before="0" w:after="0" w:line="240" w:lineRule="auto"/>
        <w:jc w:val="both"/>
      </w:pPr>
      <w:r>
        <w:rPr>
          <w:rFonts w:ascii="Arial" w:hAnsi="Arial"/>
          <w:b/>
          <w:i w:val="0"/>
          <w:sz w:val="20"/>
        </w:rPr>
        <w:t>Estrutura óssea:</w:t>
      </w:r>
    </w:p>
    <w:p>
      <w:pPr>
        <w:spacing w:before="0" w:after="0" w:line="240" w:lineRule="auto"/>
        <w:jc w:val="both"/>
      </w:pPr>
      <w:r>
        <w:rPr>
          <w:rFonts w:ascii="Arial" w:hAnsi="Arial"/>
          <w:b w:val="0"/>
          <w:i w:val="0"/>
          <w:sz w:val="20"/>
        </w:rPr>
        <w:t>Estrutura óssea íntegra.</w:t>
      </w:r>
    </w:p>
    <w:p>
      <w:pPr>
        <w:spacing w:before="0" w:after="0" w:line="240" w:lineRule="auto"/>
        <w:jc w:val="both"/>
      </w:pPr>
      <w:r/>
    </w:p>
    <w:p>
      <w:pPr>
        <w:spacing w:before="0" w:after="0" w:line="240" w:lineRule="auto"/>
        <w:jc w:val="both"/>
      </w:pPr>
      <w:r>
        <w:rPr>
          <w:rFonts w:ascii="Arial" w:hAnsi="Arial"/>
          <w:b/>
          <w:i w:val="0"/>
          <w:sz w:val="20"/>
        </w:rPr>
        <w:t>Tórax:</w:t>
      </w:r>
    </w:p>
    <w:p>
      <w:pPr>
        <w:spacing w:before="0" w:after="0" w:line="240" w:lineRule="auto"/>
        <w:jc w:val="both"/>
      </w:pPr>
      <w:r>
        <w:rPr>
          <w:rFonts w:ascii="Arial" w:hAnsi="Arial"/>
          <w:b w:val="0"/>
          <w:i w:val="0"/>
          <w:sz w:val="20"/>
        </w:rPr>
        <w:t>Ausência de derrame pleural ou de pneumotórax.</w:t>
      </w:r>
    </w:p>
    <w:p>
      <w:pPr>
        <w:spacing w:before="0" w:after="0" w:line="240" w:lineRule="auto"/>
        <w:jc w:val="both"/>
      </w:pPr>
      <w:r>
        <w:rPr>
          <w:rFonts w:ascii="Arial" w:hAnsi="Arial"/>
          <w:b w:val="0"/>
          <w:i w:val="0"/>
          <w:sz w:val="20"/>
        </w:rPr>
        <w:t>Pulmões com expansividade e atenuação usuais.</w:t>
      </w:r>
    </w:p>
    <w:p>
      <w:pPr>
        <w:spacing w:before="0" w:after="0" w:line="240" w:lineRule="auto"/>
        <w:jc w:val="both"/>
      </w:pPr>
      <w:r>
        <w:rPr>
          <w:rFonts w:ascii="Arial" w:hAnsi="Arial"/>
          <w:b w:val="0"/>
          <w:i w:val="0"/>
          <w:sz w:val="20"/>
        </w:rPr>
        <w:t>Traqueia e brônquios principais com trajeto e calibre habituais, sem indícios de estenose.</w:t>
      </w:r>
    </w:p>
    <w:p>
      <w:pPr>
        <w:spacing w:before="0" w:after="0" w:line="240" w:lineRule="auto"/>
        <w:jc w:val="both"/>
      </w:pPr>
      <w:r>
        <w:rPr>
          <w:rFonts w:ascii="Arial" w:hAnsi="Arial"/>
          <w:b w:val="0"/>
          <w:i w:val="0"/>
          <w:sz w:val="20"/>
        </w:rPr>
        <w:t>Mediastino com aspecto usual.</w:t>
      </w:r>
    </w:p>
    <w:p>
      <w:pPr>
        <w:spacing w:before="0" w:after="0" w:line="240" w:lineRule="auto"/>
        <w:jc w:val="both"/>
      </w:pPr>
      <w:r>
        <w:rPr>
          <w:rFonts w:ascii="Arial" w:hAnsi="Arial"/>
          <w:b w:val="0"/>
          <w:i w:val="0"/>
          <w:sz w:val="20"/>
        </w:rPr>
        <w:t>Coração de dimensões usuais, com contornos preservados.</w:t>
      </w:r>
    </w:p>
    <w:p>
      <w:pPr>
        <w:spacing w:before="0" w:after="0" w:line="240" w:lineRule="auto"/>
        <w:jc w:val="both"/>
      </w:pPr>
      <w:r>
        <w:rPr>
          <w:rFonts w:ascii="Arial" w:hAnsi="Arial"/>
          <w:b w:val="0"/>
          <w:i w:val="0"/>
          <w:sz w:val="20"/>
        </w:rPr>
        <w:t>Aorta torácica com trajeto e calibre habituais.</w:t>
      </w:r>
    </w:p>
    <w:p>
      <w:pPr>
        <w:spacing w:before="0" w:after="0" w:line="240" w:lineRule="auto"/>
        <w:jc w:val="both"/>
      </w:pPr>
      <w:r/>
    </w:p>
    <w:p>
      <w:pPr>
        <w:spacing w:before="0" w:after="0" w:line="240" w:lineRule="auto"/>
        <w:jc w:val="both"/>
      </w:pPr>
      <w:r>
        <w:rPr>
          <w:rFonts w:ascii="Arial" w:hAnsi="Arial"/>
          <w:b/>
          <w:i w:val="0"/>
          <w:sz w:val="20"/>
        </w:rPr>
        <w:t>Abdome e Pelve:</w:t>
      </w:r>
    </w:p>
    <w:p>
      <w:pPr>
        <w:spacing w:before="0" w:after="0" w:line="240" w:lineRule="auto"/>
        <w:jc w:val="both"/>
      </w:pPr>
      <w:r>
        <w:rPr>
          <w:rFonts w:ascii="Arial" w:hAnsi="Arial"/>
          <w:b w:val="0"/>
          <w:i w:val="0"/>
          <w:sz w:val="20"/>
        </w:rPr>
        <w:t>Ausência de pneumoperitôneo.</w:t>
      </w:r>
    </w:p>
    <w:p>
      <w:pPr>
        <w:spacing w:before="0" w:after="0" w:line="240" w:lineRule="auto"/>
        <w:jc w:val="both"/>
      </w:pPr>
      <w:r>
        <w:rPr>
          <w:rFonts w:ascii="Arial" w:hAnsi="Arial"/>
          <w:b w:val="0"/>
          <w:i w:val="0"/>
          <w:sz w:val="20"/>
        </w:rPr>
        <w:t>Ausência de líquido livre na cavidade.</w:t>
      </w:r>
    </w:p>
    <w:p>
      <w:pPr>
        <w:spacing w:before="0" w:after="0" w:line="240" w:lineRule="auto"/>
        <w:jc w:val="both"/>
      </w:pPr>
      <w:r>
        <w:rPr>
          <w:rFonts w:ascii="Arial" w:hAnsi="Arial"/>
          <w:b w:val="0"/>
          <w:i w:val="0"/>
          <w:sz w:val="20"/>
        </w:rPr>
        <w:t>Fígado, baço e pâncreas com dimensões e formas preservadas, sem lesões parenquimatosas detectáveis.</w:t>
      </w:r>
    </w:p>
    <w:p>
      <w:pPr>
        <w:spacing w:before="0" w:after="0" w:line="240" w:lineRule="auto"/>
        <w:jc w:val="both"/>
      </w:pPr>
      <w:r>
        <w:rPr>
          <w:rFonts w:ascii="Arial" w:hAnsi="Arial"/>
          <w:b w:val="0"/>
          <w:i w:val="0"/>
          <w:sz w:val="20"/>
        </w:rPr>
        <w:t>Vesícula biliar de aspecto tomográfico preservado.</w:t>
      </w:r>
    </w:p>
    <w:p>
      <w:pPr>
        <w:spacing w:before="0" w:after="0" w:line="240" w:lineRule="auto"/>
        <w:jc w:val="both"/>
      </w:pPr>
      <w:r>
        <w:rPr>
          <w:rFonts w:ascii="Arial" w:hAnsi="Arial"/>
          <w:b w:val="0"/>
          <w:i w:val="0"/>
          <w:sz w:val="20"/>
        </w:rPr>
        <w:t>Rins com morfologia usual.</w:t>
      </w:r>
    </w:p>
    <w:p>
      <w:pPr>
        <w:spacing w:before="0" w:after="0" w:line="240" w:lineRule="auto"/>
        <w:jc w:val="both"/>
      </w:pPr>
      <w:r>
        <w:rPr>
          <w:rFonts w:ascii="Arial" w:hAnsi="Arial"/>
          <w:b w:val="0"/>
          <w:i w:val="0"/>
          <w:sz w:val="20"/>
        </w:rPr>
        <w:t>Aorta abdominal com trajeto e calibre habituais.</w:t>
      </w:r>
    </w:p>
    <w:p>
      <w:pPr>
        <w:spacing w:before="0" w:after="0" w:line="240" w:lineRule="auto"/>
        <w:jc w:val="both"/>
      </w:pPr>
      <w:r>
        <w:rPr>
          <w:rFonts w:ascii="Arial" w:hAnsi="Arial"/>
          <w:b w:val="0"/>
          <w:i w:val="0"/>
          <w:sz w:val="20"/>
        </w:rPr>
        <w:t>Bexiga com aspecto tomográfico usual.</w:t>
      </w:r>
    </w:p>
    <w:p>
      <w:pPr>
        <w:spacing w:before="0" w:after="0" w:line="240" w:lineRule="auto"/>
        <w:jc w:val="both"/>
      </w:pPr>
      <w:r>
        <w:rPr>
          <w:rFonts w:ascii="Arial" w:hAnsi="Arial"/>
          <w:b w:val="0"/>
          <w:i w:val="0"/>
          <w:sz w:val="20"/>
        </w:rPr>
        <w:t>Demais estruturas pélvicas sem particularidades.</w:t>
      </w:r>
    </w:p>
    <w:p>
      <w:pPr>
        <w:spacing w:before="0" w:after="0" w:line="240" w:lineRule="auto"/>
        <w:jc w:val="both"/>
      </w:pPr>
      <w:r/>
    </w:p>
    <w:p>
      <w:pPr>
        <w:spacing w:before="0" w:after="0" w:line="240" w:lineRule="auto"/>
        <w:jc w:val="center"/>
      </w:pPr>
      <w:r>
        <w:rPr>
          <w:rFonts w:ascii="Arial" w:hAnsi="Arial"/>
          <w:b w:val="0"/>
          <w:i/>
          <w:sz w:val="16"/>
        </w:rPr>
        <w:t>A impressão diagnóstica é de probabilidade, devendo ser considerada em conjunto com dados clínicos e laboratoriais, além de outros exames de imagem prévios e/ou subsequentes. Somente seu médico tem condições de interpretar o conjunto de todas estas informações.</w:t>
      </w:r>
      <w:r>
        <w:rPr>
          <w:rFonts w:ascii="Arial" w:hAnsi="Arial"/>
          <w:b w:val="0"/>
          <w:i/>
          <w:sz w:val="16"/>
        </w:rPr>
        <w:t xml:space="preserve"> </w:t>
      </w:r>
    </w:p>
    <w:p>
      <w:pPr>
        <w:spacing w:before="0" w:after="0" w:line="240" w:lineRule="auto"/>
        <w:jc w:val="both"/>
      </w:pPr>
      <w:r/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40" w:lineRule="auto"/>
    </w:pPr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