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TÓRAX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Informe clínico:</w:t>
      </w:r>
      <w:r>
        <w:rPr>
          <w:rFonts w:ascii="Arial" w:hAnsi="Arial"/>
          <w:b w:val="0"/>
          <w:i w:val="0"/>
          <w:sz w:val="20"/>
        </w:rPr>
        <w:t xml:space="preserve"> XXX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  <w:r>
        <w:rPr>
          <w:rFonts w:ascii="Arial" w:hAnsi="Arial"/>
          <w:b w:val="0"/>
          <w:i w:val="0"/>
          <w:sz w:val="20"/>
        </w:rPr>
        <w:t xml:space="preserve"> Realizadas aquisições volumétricas com posteriores reconstruções multiplanares. Imagens obtidas sem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Superfícies e espaços pleurais livres.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Parênquima pulmonar com densidade tomográfica usual, sem sinais de nódulos ou consolidações.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Traqueia e os brônquios principais de calibres usuais e paredes normoespessas.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Mediastino de aspecto anatômico, com tecido gorduroso preservado.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 axilares, mediastinais ou hilares.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Coração de dimensões usuais, com contornos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Grandes vasos sem evidências de anormalidades.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preservada.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achados de significado patológico detectáveis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>
        <w:rPr>
          <w:rFonts w:ascii="Arial" w:hAnsi="Arial"/>
          <w:b w:val="0"/>
          <w:i/>
          <w:sz w:val="16"/>
        </w:rPr>
        <w:t xml:space="preserve">  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