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Arial" w:hAnsi="Arial"/>
          <w:b/>
          <w:i w:val="0"/>
          <w:sz w:val="20"/>
        </w:rPr>
        <w:t>TOMOGRAFIA DE TÓRAX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Técnica do exame:</w:t>
      </w:r>
      <w:r>
        <w:rPr>
          <w:rFonts w:ascii="Arial" w:hAnsi="Arial"/>
          <w:b w:val="0"/>
          <w:i w:val="0"/>
          <w:sz w:val="20"/>
        </w:rPr>
        <w:t xml:space="preserve"> Realizadas aquisições volumétricas com posteriores reconstruções multiplanares. Imagens obtidas sem o uso do meio de contraste endovenoso.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Aspectos observados: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Estrutura óssea íntegra.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Ausência de derrame pleural ou de pneumotórax.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Pulmões com expansividade e atenuação usuais.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Traqueia e brônquios principais com trajeto e calibre habituais, sem indícios de estenose.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Mediastino com aspecto usual.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Aorta torácica com trajeto e calibre habituais.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Coração de dimensões usuais, com contornos preservados.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center"/>
      </w:pPr>
      <w:r>
        <w:rPr>
          <w:rFonts w:ascii="Arial" w:hAnsi="Arial"/>
          <w:b w:val="0"/>
          <w:i/>
          <w:sz w:val="16"/>
        </w:rPr>
        <w:t>A impressão diagnóstica é de probabilidade, devendo ser considerada em conjunto com dados clínicos e laboratoriais, além de outros exames de imagem prévios e/ou subsequentes. Somente seu médico tem condições de interpretar o conjunto de todas estas informações.</w:t>
      </w:r>
      <w:r>
        <w:rPr>
          <w:rFonts w:ascii="Arial" w:hAnsi="Arial"/>
          <w:b w:val="0"/>
          <w:i/>
          <w:sz w:val="16"/>
        </w:rPr>
        <w:t xml:space="preserve"> </w:t>
      </w:r>
    </w:p>
    <w:p>
      <w:pPr>
        <w:spacing w:before="0" w:after="0" w:line="240" w:lineRule="auto"/>
        <w:jc w:val="both"/>
      </w:pP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