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B5E5A"/>
          <w:sz w:val="52"/>
          <w:szCs w:val="52"/>
        </w:rPr>
        <w:t xml:space="preserve">ATLAS ECONÔMICO DO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5E5A"/>
          <w:sz w:val="52"/>
          <w:szCs w:val="52"/>
        </w:rPr>
        <w:t xml:space="preserve">VALE DO PARAÍBA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Plano de Implementação e Documentação Técnica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Dinamismo econômico, mercado de trabalho formal e pressão de pejotização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Região Metropolitana do Vale do Paraíba e Litoral Norte  |  12 municípios  |  2015–2024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2E8B85"/>
          <w:sz w:val="20"/>
          <w:szCs w:val="20"/>
        </w:rPr>
        <w:t xml:space="preserve">Stack: Python · BigQuery · dbt · GeoPandas · Power BI · GitHub Pages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Versão 1.0 — Março 2026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5E5A"/>
          <w:sz w:val="32"/>
          <w:szCs w:val="32"/>
        </w:rPr>
        <w:t xml:space="preserve">1. Contexto e Perguntas de Pesquisa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 Vale do Paraíba paulista é um dos eixos industriais mais relevantes do Brasil, abrigando empresas como Embraer, General Motors, Petrobras e Johnson &amp; Johnson, além do maior complexo aeroespacial da América Latina. Com PIB regional superior a R$ 100 bilhões e mais de 2,5 milhões de habitantes, a região apresenta heterogeneidade econômica marcante entre seus municípios.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Este projeto responde três perguntas de pesquisa: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Qual município do Vale tem o mercado de trabalho mais dinâmico, considerando crescimento do emprego formal, diversificação setorial e resiliência a choques?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 reforma trabalhista de 2017 acelerou a substituição de vínculos CLT por contratos PJ (pejotização) nos municípios da região?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Existe correlação entre complexidade econômica e resistência à precarização do vínculo de trabalho?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85"/>
          <w:sz w:val="26"/>
          <w:szCs w:val="26"/>
        </w:rPr>
        <w:t xml:space="preserve">1.1 Fundamentação Teórica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 projeto se apoia em três correntes da literatura econômica: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Complexidade econômica regional: Hidalgo &amp; Hausmann (2009) propõem que a diversidade produtiva é proxy da quantidade de conhecimento produtivo acumulado. Gomes et al. (2022) validam essa metodologia para municípios brasileiros usando dados de emprego formal. Ferraz et al. (2024) analisam 558 microrregiões brasileiras e mostram que novas indústrias surgem onde há relatedness tecnológico com setores existentes.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Pejotização e precarização: Torbitoni et al. (2026) revisam sistematicamente os mecanismos pelos quais a pejotização fragiliza direitos trabalhistas. Remédio &amp; Doná (2018) analisam as alterações da Lei 13.467/2017. Castro (2013) documenta o fenômeno em detalhe para o setor de TI brasileiro.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Reforma trabalhista: Viana et al. (2022), usando controle sintético com 11 países latino-americanos, não encontram efeito da reforma sobre o desemprego total, sugerindo que a mudança foi qualitativa (tipo de vínculo) e não quantitativa.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5E5A"/>
          <w:sz w:val="32"/>
          <w:szCs w:val="32"/>
        </w:rPr>
        <w:t xml:space="preserve">2. Escopo Geográfico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12 municípios da Calha do Vale (eixo da Via Dutra), com variabilidade intencional no perfil produtivo: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600"/>
      </w:tblGrid>
      <w:tr>
        <w:trPr>
          <w:tblHeader/>
        </w:trPr>
        <w:tc>
          <w:tcPr>
            <w:tcW w:type="dxa" w:w="26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Município</w:t>
            </w:r>
          </w:p>
        </w:tc>
        <w:tc>
          <w:tcPr>
            <w:tcW w:type="dxa" w:w="30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dominante</w:t>
            </w:r>
          </w:p>
        </w:tc>
        <w:tc>
          <w:tcPr>
            <w:tcW w:type="dxa" w:w="26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IBGE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São José dos Campos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Tecnologia, aeroespacial, serviços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3549904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Taubaté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Indústria automotiva, serviços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3554102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Jacareí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Indústria diversificada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3524402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Caçapava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Indústria siderúrgica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3299606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Pindamonhangaba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Indústria, comércio regional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3537107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Guaratinguetá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Indústria, turismo religioso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3517303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Lorena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Química, educação superior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3536505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Cruzeiro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Metalurgia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3520400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Tremembé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Serviços, logística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3521606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Aparecida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Turismo religioso (contraste)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3472203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Santa Branca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Agropecuária (contraste)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3549300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Roseira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Agropecuária (contraste)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3537305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5E5A"/>
          <w:sz w:val="32"/>
          <w:szCs w:val="32"/>
        </w:rPr>
        <w:t xml:space="preserve">3. Fontes de Dados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Todos os dados são públicos, abertos e gratuitos. Nenhum dado de pessoa física identificável é coletado ou armazenado.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0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Granularidade</w:t>
            </w:r>
          </w:p>
        </w:tc>
        <w:tc>
          <w:tcPr>
            <w:tcW w:type="dxa" w:w="20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IBGE — PIB Municípios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PIB e VA por setor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Município × 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API SIDRA / download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MTE — Novo CAGED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Admissões e desligamentos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Mun. × setor × 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FTP gov.br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MTE — RAIS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Estoque empregos, salário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Mun. × setor × 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Base dos Dados / FTP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Receita Federal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MEIs por CNAE (filtrado)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Mun. × setor × 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dados.gov.br (arquivo)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IBGE — CEMPRE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Pessoal ocupado total vs CLT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Mun. × setor × 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SIDRA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IBGE — Malha Municipal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Geometrias dos municípios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Município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geoftp.ibge.gov.br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SEADE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Indicadores regionais 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Município × 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repositorio.seade.gov.br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5E5A"/>
          <w:sz w:val="32"/>
          <w:szCs w:val="32"/>
        </w:rPr>
        <w:t xml:space="preserve">4. Roadmap de Implementação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 projeto está dividido em 5 fases com 18 etapas. Estimativa total: 8 semanas.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85"/>
          <w:sz w:val="26"/>
          <w:szCs w:val="26"/>
        </w:rPr>
        <w:t xml:space="preserve">Fase 1 — Infraestrutura e Coleta de Dados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500"/>
        <w:gridCol w:w="1200"/>
      </w:tblGrid>
      <w:tr>
        <w:trPr>
          <w:tblHeader/>
        </w:trPr>
        <w:tc>
          <w:tcPr>
            <w:tcW w:type="dxa" w:w="7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5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 principal</w:t>
            </w:r>
          </w:p>
        </w:tc>
        <w:tc>
          <w:tcPr>
            <w:tcW w:type="dxa" w:w="12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Setup GCP (projeto, APIs, service account)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Projeto GCP ativo, credenciais configuradas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Criação do data lake (GCS) com estrutura medallion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Bucket GCS com pastas raw/processed/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Script coleta IBGE API (PIB, população, geometrias)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Dados IBGE no bronze_vale_paraiba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Script coleta CAGED / Novo CAGED (FTP MTE)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Série mensal 2015–2024 no bronze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Script filtragem CNPJ Receita Federal (MEIs)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Contagens MEI por mun-setor-mês no bronze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85"/>
          <w:sz w:val="26"/>
          <w:szCs w:val="26"/>
        </w:rPr>
        <w:t xml:space="preserve">Fase 2 — Transformações dbt (Silver e Gold)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500"/>
        <w:gridCol w:w="1200"/>
      </w:tblGrid>
      <w:tr>
        <w:trPr>
          <w:tblHeader/>
        </w:trPr>
        <w:tc>
          <w:tcPr>
            <w:tcW w:type="dxa" w:w="7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5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 principal</w:t>
            </w:r>
          </w:p>
        </w:tc>
        <w:tc>
          <w:tcPr>
            <w:tcW w:type="dxa" w:w="12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Setup projeto dbt + profiles BigQuery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dbt debug OK, conexão BigQuery estabelecida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Models silver: limpeza, tipagem, ligação CAGED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7 models staging com testes passando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Model gold: mart_serie_emprego_mensal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Série histórica ligada e validada no gold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2.4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Cálculo do IDE (Python + dbt)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mart_ide_municipal com scores 0–100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2.5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Cálculo do IPP por setor-município (Python)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mart_ipp_setor_municipio com pressão de pejotização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2.6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Model gold: mart_kpis_municipio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Tabela consolidada para Power BI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85"/>
          <w:sz w:val="26"/>
          <w:szCs w:val="26"/>
        </w:rPr>
        <w:t xml:space="preserve">Fase 3 — Análise e Notebooks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500"/>
        <w:gridCol w:w="1200"/>
      </w:tblGrid>
      <w:tr>
        <w:trPr>
          <w:tblHeader/>
        </w:trPr>
        <w:tc>
          <w:tcPr>
            <w:tcW w:type="dxa" w:w="7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5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 principal</w:t>
            </w:r>
          </w:p>
        </w:tc>
        <w:tc>
          <w:tcPr>
            <w:tcW w:type="dxa" w:w="12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Notebook análise exploratória (01_exploratory_analysis)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Estatísticas descritivas, correlações básicas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Notebook metodologia IDE (02_ide_methodology)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Validação dos componentes, testes de robustez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Notebook análise pejotização (03_pejotizacao_analysis)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IPP por setor, comparativo pré/pós-2017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3.4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Notebook relatório final (04_final_report)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Narrativa completa exportada como 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85"/>
          <w:sz w:val="26"/>
          <w:szCs w:val="26"/>
        </w:rPr>
        <w:t xml:space="preserve">Fase 4 — Dashboard Power BI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500"/>
        <w:gridCol w:w="1200"/>
      </w:tblGrid>
      <w:tr>
        <w:trPr>
          <w:tblHeader/>
        </w:trPr>
        <w:tc>
          <w:tcPr>
            <w:tcW w:type="dxa" w:w="7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5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 principal</w:t>
            </w:r>
          </w:p>
        </w:tc>
        <w:tc>
          <w:tcPr>
            <w:tcW w:type="dxa" w:w="12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Conexão Power BI + BigQuery, modelo de dados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4 tabelas gold importadas, relacionamentos 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4.2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Página 1: Ranking IDE — comparativo municipal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Barras, KPI cards, filtros por ano/setor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4.3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Página 2: Mercado de trabalho — série temporal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Gráfico de área, decomposição setorial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4.4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Página 3: Pejotização — mapa de pressão por setor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Heatmap IPP × setor × município × 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85"/>
          <w:sz w:val="26"/>
          <w:szCs w:val="26"/>
        </w:rPr>
        <w:t xml:space="preserve">Fase 5 — App Web (GitHub Pages) e Documentação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500"/>
        <w:gridCol w:w="1200"/>
      </w:tblGrid>
      <w:tr>
        <w:trPr>
          <w:tblHeader/>
        </w:trPr>
        <w:tc>
          <w:tcPr>
            <w:tcW w:type="dxa" w:w="7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5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Entregável principal</w:t>
            </w:r>
          </w:p>
        </w:tc>
        <w:tc>
          <w:tcPr>
            <w:tcW w:type="dxa" w:w="12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5.1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Mapa coroplético interativo (Folium + GitHub Pages)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App web público com IDE e IPP no mapa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5.2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README, SECURITY.md e documentação final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Repositório público profissional no 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5.3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README, SECURITY.md e documentação final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Repositório público profissional no 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5A"/>
                <w:sz w:val="18"/>
                <w:szCs w:val="18"/>
              </w:rPr>
              <w:t xml:space="preserve">5.4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Vídeo demo (5 min) — pipeline + dashboard + mapa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Gravação no YouTube/Loom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A fazer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5E5A"/>
          <w:sz w:val="32"/>
          <w:szCs w:val="32"/>
        </w:rPr>
        <w:t xml:space="preserve">5. Metodologia — Resumo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85"/>
          <w:sz w:val="26"/>
          <w:szCs w:val="26"/>
        </w:rPr>
        <w:t xml:space="preserve">5.1 Índice de Dinamismo Econômico (IDE)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Índice composto com quatro componentes normalizados em escala 0–100: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2400"/>
        <w:gridCol w:w="1600"/>
      </w:tblGrid>
      <w:tr>
        <w:trPr>
          <w:tblHeader/>
        </w:trPr>
        <w:tc>
          <w:tcPr>
            <w:tcW w:type="dxa" w:w="8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34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600"/>
            <w:tcBorders>
              <w:top w:val="single" w:color="1B5E5A" w:sz="1"/>
              <w:left w:val="single" w:color="1B5E5A" w:sz="1"/>
              <w:bottom w:val="single" w:color="1B5E5A" w:sz="1"/>
              <w:right w:val="single" w:color="1B5E5A" w:sz="1"/>
            </w:tcBorders>
            <w:shd w:fill="1B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35%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Crescimento do PIB per capita real (2015–2021)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IBGE PIB Municípios + IPCA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CAGR real deflacionado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Saldo líquido de emprego formal / PIA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CAGED 2015–2024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Σ saldo / pop. 15–64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20%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Diversificação setorial (inverso do HHI)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RAIS por divisão CNAE 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1 − HHI normalizado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15%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Dinamismo recente (últimos 24 meses vs. histórico)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Novo CAGED 2022–2024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Δ saldo / média hist.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B85"/>
          <w:sz w:val="26"/>
          <w:szCs w:val="26"/>
        </w:rPr>
        <w:t xml:space="preserve">5.2 Índice de Pressão de Pejotização (IPP)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 IPP é calculado por setor-município-ano quando duas condições ocorrem simultaneamente: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Queda no saldo de emprego CLT (CAGED negativo)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Crescimento no estoque de MEIs ativos (dados CNPJ Receita Federal)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Fórmula: IPP(s,m,t) = ΔMEI(s,m,t) / |ΔCLT(s,m,t)|, quando ΔCLT &lt; 0 e ΔMEI &gt; 0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Interpretação: IPP = 1 significa que para cada vínculo CLT perdido, um MEI foi aberto no mesmo setor. IPP &gt; 1 é sinal mais forte de substituição de vínculos.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Limitação reconhecida: o IPP é um proxy — não distingue pejotização forçada de empreendedorismo genuíno. A correlação não implica causalidade. Toda análise é apresentada com essa ressalva explícita.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5E5A"/>
          <w:sz w:val="32"/>
          <w:szCs w:val="32"/>
        </w:rPr>
        <w:t xml:space="preserve">6. Segurança e Privacidade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Este projeto foi desenhado com privacidade e segurança como requisitos não-negociáveis desde o início (privacy by design).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 que NUNCA vai para o repositório Git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Credenciais GCP (arquivo JSON da service account)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Arquivo CNPJ completo da Receita Federal (~3 GB, dados de empresas individuais)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Microdados brutos RAIS ou CAGED (podem conter informações individuais de trabalhadores)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Variáveis de ambiente (.env) com IDs de projeto ou chaves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Controles implementados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.gitignore abrangente cobre todos os padrões de arquivos sensíveis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GitHub Actions com job de verificação de segredos em todo PR e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SECURITY.md documentando a política e o procedimento em caso de vazamento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.env.example com template documentado — nunca com valores reais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Arquivo CNPJ processado apenas como contagens agregadas — nenhum CNPJ individual armazenado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Conformidade com fontes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Todos os dados são públicos e distribuídos sob licenças abertas (CC BY 4.0 para CNPJ Receita Federal; uso livre com citação para IBGE, MTE e SEADE). Nenhum dado de pessoa física é redistribuído.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5E5A"/>
          <w:sz w:val="32"/>
          <w:szCs w:val="32"/>
        </w:rPr>
        <w:t xml:space="preserve">7. Referências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FERRAZ, D. et al. Related industries, economic complexity, and regional diversification: An application for Brazilian microregions. Research Policy, 2024.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GOMES, L. et al. Economic complexity and regional economic development: evidence from Brazil. ANPEC, 2022.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HIDALGO, C.; HAUSMANN, R. The building blocks of economic complexity. PNAS, v.106, n.26, 2009.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MORAIS, M. B.; SWART, J.; JORDAAN, J. A. Economic Complexity and Inequality: Does Regional Productive Structure Affect Income Inequality in Brazilian States? Sustainability, MDPI, v.13, n.2, 2021.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REMÉDIO, J. A.; DONÁ, S. L. A pejotização do contrato de trabalho e a reforma trabalhista. Revista do Direito do Trabalho e Meio Ambiente do Trabalho, v.4, n.2, 2018.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TORBITONI, G. P. et al. Pejotização e seus impactos na precarização das relações de trabalho no Brasil. Observatório da Economia Latino-americana, v.24, n.1, 2026.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VIANA, F. et al. A reforma trabalhista de 2017 teve efeito sobre a taxa de desemprego? ANPEC, 2022.</w:t>
      </w:r>
    </w:p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CASTRO, B. Afogados em contratos: o impacto da flexibilização do trabalho nas trajetórias dos profissionais de TI. Tese de Doutorado — IFCH, UNICAMP, 2013.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120"/>
    </w:pPr>
    <w:r>
      <w:rPr>
        <w:rFonts w:ascii="Arial" w:cs="Arial" w:eastAsia="Arial" w:hAnsi="Arial"/>
        <w:color w:val="595959"/>
        <w:sz w:val="16"/>
        <w:szCs w:val="16"/>
      </w:rPr>
      <w:t xml:space="preserve">Thales — Pesquisa Econômica Regional</w:t>
    </w:r>
    <w:r>
      <w:rPr>
        <w:rFonts w:ascii="Arial" w:cs="Arial" w:eastAsia="Arial" w:hAnsi="Arial"/>
        <w:color w:val="595959"/>
        <w:sz w:val="16"/>
        <w:szCs w:val="16"/>
      </w:rPr>
      <w:t xml:space="preserve">	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5A" w:sz="6"/>
      </w:pBdr>
      <w:spacing w:after="120"/>
    </w:pPr>
    <w:r>
      <w:rPr>
        <w:rFonts w:ascii="Arial" w:cs="Arial" w:eastAsia="Arial" w:hAnsi="Arial"/>
        <w:b/>
        <w:bCs/>
        <w:color w:val="1B5E5A"/>
        <w:sz w:val="17"/>
        <w:szCs w:val="17"/>
      </w:rPr>
      <w:t xml:space="preserve">Atlas Econômico do Vale do Paraíba  |  Plano de Implementação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5E5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B8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2026-03-25T00:29:27.173Z</dcterms:created>
  <dcterms:modified xsi:type="dcterms:W3CDTF">2026-03-25T00:29:27.174Z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