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  <w:jc w:val="center"/>
      </w:pPr>
      <w:r>
        <w:drawing>
          <wp:inline xmlns:a="http://schemas.openxmlformats.org/drawingml/2006/main" xmlns:pic="http://schemas.openxmlformats.org/drawingml/2006/picture">
            <wp:extent cx="6263999" cy="794864"/>
            <wp:docPr id="1" name="Picture 1" descr="Grafismo geométrico azul da identidade visual" title="Grafismo geométrico azul da identidade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patte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94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Calibri" w:hAnsi="Calibri" w:eastAsia="Calibri"/>
          <w:b/>
          <w:color w:val="0B1F4A"/>
          <w:sz w:val="32"/>
        </w:rPr>
        <w:t>{{CLIENT_NAME}}</w:t>
      </w:r>
    </w:p>
    <w:p>
      <w:pPr>
        <w:spacing w:after="360"/>
      </w:pPr>
      <w:r>
        <w:rPr>
          <w:rFonts w:ascii="Calibri" w:hAnsi="Calibri" w:eastAsia="Calibri"/>
          <w:b/>
          <w:color w:val="2E59FC"/>
          <w:sz w:val="56"/>
        </w:rPr>
        <w:t>RELATÓRIO DE</w:t>
        <w:br/>
        <w:t>VULNERABILIDADES</w:t>
        <w:br/>
        <w:t>TENABLE</w:t>
      </w:r>
    </w:p>
    <w:p>
      <w:pPr>
        <w:spacing w:after="100"/>
      </w:pPr>
      <w:r>
        <w:rPr>
          <w:rFonts w:ascii="Calibri" w:hAnsi="Calibri" w:eastAsia="Calibri"/>
          <w:b/>
          <w:color w:val="0B1F4A"/>
          <w:sz w:val="30"/>
        </w:rPr>
        <w:t>{{PERIOD_LABEL}}</w:t>
      </w:r>
    </w:p>
    <w:p>
      <w:r>
        <w:rPr>
          <w:rFonts w:ascii="Calibri" w:hAnsi="Calibri" w:eastAsia="Calibri"/>
          <w:color w:val="68728A"/>
          <w:sz w:val="18"/>
        </w:rPr>
        <w:t>{{PERIOD_RANGE}}</w:t>
      </w:r>
    </w:p>
    <w:p>
      <w:pPr>
        <w:spacing w:after="1560" w:line="20" w:lineRule="exact"/>
      </w:pPr>
    </w:p>
    <w:tbl>
      <w:tblPr>
        <w:tblW w:type="dxa" w:w="986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0"/>
            <w:vAlign w:val="center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08760" cy="336640"/>
                  <wp:docPr id="2" name="Picture 2" descr="Logotipo Tenable" title="Logotipo Tenabl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nable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336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0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28800" cy="406075"/>
                  <wp:docPr id="3" name="Picture 3" descr="Logotipo ITProtect" title="Logotipo ITProtec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protect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1" w:color="2E59FC"/>
        </w:pBdr>
      </w:pPr>
      <w:r>
        <w:t>1. VISÃO GERAL DO PERÍODO</w:t>
      </w:r>
    </w:p>
    <w:p>
      <w:r>
        <w:t xml:space="preserve">Esta prova editorial é gerada exclusivamente a partir do dataset mensal materializado, sem nova consulta à API durante a renderização. </w:t>
      </w:r>
      <w:r>
        <w:rPr>
          <w:b/>
        </w:rPr>
        <w:t>Grão das contagens: instância de finding.</w:t>
      </w:r>
    </w:p>
    <w:p>
      <w:r>
        <w:rPr>
          <w:b/>
        </w:rPr>
        <w:t xml:space="preserve">Período: </w:t>
      </w:r>
      <w:r>
        <w:t xml:space="preserve">{{PERIOD_RANGE}}  |  </w:t>
      </w:r>
      <w:r>
        <w:rPr>
          <w:b/>
        </w:rPr>
        <w:t xml:space="preserve">Execução: </w:t>
      </w:r>
      <w:r>
        <w:t>{{EXECUTION_LABEL}}</w:t>
      </w:r>
    </w:p>
    <w:tbl>
      <w:tblPr>
        <w:tblW w:type="dxa" w:w="986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2465"/>
            <w:shd w:fill="EAF0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2E59FC"/>
                <w:sz w:val="36"/>
              </w:rPr>
              <w:t>{{NM}}</w:t>
            </w:r>
          </w:p>
        </w:tc>
        <w:tc>
          <w:tcPr>
            <w:tcW w:type="dxa" w:w="2465"/>
            <w:shd w:fill="EAF0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2E59FC"/>
                <w:sz w:val="36"/>
              </w:rPr>
              <w:t>{{VA}}</w:t>
            </w:r>
          </w:p>
        </w:tc>
        <w:tc>
          <w:tcPr>
            <w:tcW w:type="dxa" w:w="2465"/>
            <w:shd w:fill="EAF0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2E59FC"/>
                <w:sz w:val="36"/>
              </w:rPr>
              <w:t>{{EX}}</w:t>
            </w:r>
          </w:p>
        </w:tc>
        <w:tc>
          <w:tcPr>
            <w:tcW w:type="dxa" w:w="2465"/>
            <w:shd w:fill="EAF0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2E59FC"/>
                <w:sz w:val="36"/>
              </w:rPr>
              <w:t>{{TA}}</w:t>
            </w:r>
          </w:p>
        </w:tc>
      </w:tr>
      <w:tr>
        <w:trPr>
          <w:cantSplit/>
        </w:trPr>
        <w:tc>
          <w:tcPr>
            <w:tcW w:type="dxa" w:w="2465"/>
            <w:shd w:fill="EAF0FF"/>
            <w:vAlign w:val="center"/>
          </w:tcPr>
          <w:p>
            <w:pPr>
              <w:spacing w:after="80"/>
              <w:jc w:val="center"/>
            </w:pPr>
            <w:r>
              <w:rPr>
                <w:rFonts w:ascii="Calibri" w:hAnsi="Calibri" w:eastAsia="Calibri"/>
                <w:b/>
                <w:color w:val="0B1F4A"/>
                <w:sz w:val="15"/>
              </w:rPr>
              <w:t>FINDINGS NÃO MITIGADOS</w:t>
            </w:r>
          </w:p>
        </w:tc>
        <w:tc>
          <w:tcPr>
            <w:tcW w:type="dxa" w:w="2465"/>
            <w:shd w:fill="EAF0FF"/>
            <w:vAlign w:val="center"/>
          </w:tcPr>
          <w:p>
            <w:pPr>
              <w:spacing w:after="80"/>
              <w:jc w:val="center"/>
            </w:pPr>
            <w:r>
              <w:rPr>
                <w:rFonts w:ascii="Calibri" w:hAnsi="Calibri" w:eastAsia="Calibri"/>
                <w:b/>
                <w:color w:val="0B1F4A"/>
                <w:sz w:val="15"/>
              </w:rPr>
              <w:t>ATIVOS VULNERÁVEIS</w:t>
            </w:r>
          </w:p>
        </w:tc>
        <w:tc>
          <w:tcPr>
            <w:tcW w:type="dxa" w:w="2465"/>
            <w:shd w:fill="EAF0FF"/>
            <w:vAlign w:val="center"/>
          </w:tcPr>
          <w:p>
            <w:pPr>
              <w:spacing w:after="80"/>
              <w:jc w:val="center"/>
            </w:pPr>
            <w:r>
              <w:rPr>
                <w:rFonts w:ascii="Calibri" w:hAnsi="Calibri" w:eastAsia="Calibri"/>
                <w:b/>
                <w:color w:val="0B1F4A"/>
                <w:sz w:val="15"/>
              </w:rPr>
              <w:t>FINDINGS EXPLOITABLE</w:t>
            </w:r>
          </w:p>
        </w:tc>
        <w:tc>
          <w:tcPr>
            <w:tcW w:type="dxa" w:w="2465"/>
            <w:shd w:fill="EAF0FF"/>
            <w:vAlign w:val="center"/>
          </w:tcPr>
          <w:p>
            <w:pPr>
              <w:spacing w:after="80"/>
              <w:jc w:val="center"/>
            </w:pPr>
            <w:r>
              <w:rPr>
                <w:rFonts w:ascii="Calibri" w:hAnsi="Calibri" w:eastAsia="Calibri"/>
                <w:b/>
                <w:color w:val="0B1F4A"/>
                <w:sz w:val="15"/>
              </w:rPr>
              <w:t>ATIVOS PRIORIZADOS</w:t>
            </w:r>
          </w:p>
        </w:tc>
      </w:tr>
    </w:tbl>
    <w:p>
      <w:pPr>
        <w:spacing w:before="100"/>
      </w:pPr>
      <w:r>
        <w:rPr>
          <w:rFonts w:ascii="Calibri" w:hAnsi="Calibri" w:eastAsia="Calibri"/>
          <w:color w:val="68728A"/>
          <w:sz w:val="15"/>
        </w:rPr>
        <w:t>Definição métrica {{METRIC_DEFINITION_VERSION}}  |  run_id {{RUN_ID}}  |  coleta {{COLLECTION_STATUS}}</w:t>
      </w:r>
    </w:p>
    <w:p>
      <w:pPr>
        <w:pStyle w:val="Heading1"/>
        <w:pBdr>
          <w:bottom w:val="single" w:sz="8" w:space="1" w:color="2E59FC"/>
        </w:pBdr>
      </w:pPr>
      <w:r>
        <w:t>2. PRINCIPAIS ATIVOS VULNERÁVEIS</w:t>
      </w:r>
    </w:p>
    <w:p>
      <w:r>
        <w:t xml:space="preserve">Ranking dos ativos pelo total de findings não mitigados. Exploitable é um subconjunto de Total e não integra a soma das severidades. </w:t>
      </w:r>
      <w:r>
        <w:rPr>
          <w:i/>
        </w:rPr>
        <w:t>IP Address e Asset Name seguem a política de exposição escolhida na execução.</w:t>
      </w:r>
    </w:p>
    <w:tbl>
      <w:tblPr>
        <w:tblStyle w:val="TableGrid"/>
        <w:tblW w:type="dxa" w:w="984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blHeader w:val="true"/>
          <w:cantSplit/>
        </w:trPr>
        <w:tc>
          <w:tcPr>
            <w:tcW w:type="dxa" w:w="1450"/>
            <w:shd w:fill="2E59FC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4"/>
              </w:rPr>
              <w:t>IP Address</w:t>
            </w:r>
          </w:p>
        </w:tc>
        <w:tc>
          <w:tcPr>
            <w:tcW w:type="dxa" w:w="2150"/>
            <w:shd w:fill="2E59FC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4"/>
              </w:rPr>
              <w:t>Asset Name</w:t>
            </w:r>
          </w:p>
        </w:tc>
        <w:tc>
          <w:tcPr>
            <w:tcW w:type="dxa" w:w="930"/>
            <w:shd w:fill="FF0000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000000"/>
                <w:sz w:val="14"/>
              </w:rPr>
              <w:t>Crítica</w:t>
            </w:r>
          </w:p>
        </w:tc>
        <w:tc>
          <w:tcPr>
            <w:tcW w:type="dxa" w:w="930"/>
            <w:shd w:fill="F28C00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000000"/>
                <w:sz w:val="14"/>
              </w:rPr>
              <w:t>Alta</w:t>
            </w:r>
          </w:p>
        </w:tc>
        <w:tc>
          <w:tcPr>
            <w:tcW w:type="dxa" w:w="930"/>
            <w:shd w:fill="FFF200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000000"/>
                <w:sz w:val="14"/>
              </w:rPr>
              <w:t>Média</w:t>
            </w:r>
          </w:p>
        </w:tc>
        <w:tc>
          <w:tcPr>
            <w:tcW w:type="dxa" w:w="930"/>
            <w:shd w:fill="00B050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000000"/>
                <w:sz w:val="14"/>
              </w:rPr>
              <w:t>Baixa</w:t>
            </w:r>
          </w:p>
        </w:tc>
        <w:tc>
          <w:tcPr>
            <w:tcW w:type="dxa" w:w="1100"/>
            <w:shd w:fill="2E59FC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4"/>
              </w:rPr>
              <w:t>Total</w:t>
            </w:r>
          </w:p>
        </w:tc>
        <w:tc>
          <w:tcPr>
            <w:tcW w:type="dxa" w:w="1420"/>
            <w:shd w:fill="0B1F4A"/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4"/>
              </w:rPr>
              <w:t>Exploitable</w:t>
            </w:r>
          </w:p>
        </w:tc>
      </w:tr>
      <w:tr>
        <w:trPr>
          <w:cantSplit/>
        </w:trPr>
        <w:tc>
          <w:tcPr>
            <w:tcW w:type="dxa" w:w="1450"/>
            <w:shd w:fill="FFFFFF"/>
            <w:vAlign w:val="center"/>
          </w:tcPr>
          <w:p>
            <w:pPr>
              <w:spacing w:after="40"/>
              <w:jc w:val="left"/>
            </w:pPr>
            <w:r>
              <w:rPr>
                <w:rFonts w:ascii="Calibri" w:hAnsi="Calibri" w:eastAsia="Calibri"/>
                <w:color w:val="0B1F4A"/>
                <w:sz w:val="14"/>
              </w:rPr>
              <w:t>{{ASSET_IP}}</w:t>
            </w:r>
          </w:p>
        </w:tc>
        <w:tc>
          <w:tcPr>
            <w:tcW w:type="dxa" w:w="2150"/>
            <w:shd w:fill="FFFFFF"/>
            <w:vAlign w:val="center"/>
          </w:tcPr>
          <w:p>
            <w:pPr>
              <w:spacing w:after="40"/>
              <w:jc w:val="left"/>
            </w:pPr>
            <w:r>
              <w:rPr>
                <w:rFonts w:ascii="Calibri" w:hAnsi="Calibri" w:eastAsia="Calibri"/>
                <w:color w:val="0B1F4A"/>
                <w:sz w:val="14"/>
              </w:rPr>
              <w:t>{{ASSET_NAME}}</w:t>
            </w:r>
          </w:p>
        </w:tc>
        <w:tc>
          <w:tcPr>
            <w:tcW w:type="dxa" w:w="930"/>
            <w:shd w:fill="FFFF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color w:val="0B1F4A"/>
                <w:sz w:val="14"/>
              </w:rPr>
              <w:t>{{CRITICAL}}</w:t>
            </w:r>
          </w:p>
        </w:tc>
        <w:tc>
          <w:tcPr>
            <w:tcW w:type="dxa" w:w="930"/>
            <w:shd w:fill="FFFF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color w:val="0B1F4A"/>
                <w:sz w:val="14"/>
              </w:rPr>
              <w:t>{{HIGH}}</w:t>
            </w:r>
          </w:p>
        </w:tc>
        <w:tc>
          <w:tcPr>
            <w:tcW w:type="dxa" w:w="930"/>
            <w:shd w:fill="FFFF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color w:val="0B1F4A"/>
                <w:sz w:val="14"/>
              </w:rPr>
              <w:t>{{MEDIUM}}</w:t>
            </w:r>
          </w:p>
        </w:tc>
        <w:tc>
          <w:tcPr>
            <w:tcW w:type="dxa" w:w="930"/>
            <w:shd w:fill="FFFF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color w:val="0B1F4A"/>
                <w:sz w:val="14"/>
              </w:rPr>
              <w:t>{{LOW}}</w:t>
            </w:r>
          </w:p>
        </w:tc>
        <w:tc>
          <w:tcPr>
            <w:tcW w:type="dxa" w:w="1100"/>
            <w:shd w:fill="FFFF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color w:val="0B1F4A"/>
                <w:sz w:val="14"/>
              </w:rPr>
              <w:t>{{TOTAL}}</w:t>
            </w:r>
          </w:p>
        </w:tc>
        <w:tc>
          <w:tcPr>
            <w:tcW w:type="dxa" w:w="1420"/>
            <w:shd w:fill="FFFFFF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color w:val="0B1F4A"/>
                <w:sz w:val="14"/>
              </w:rPr>
              <w:t>{{EXPLOITABLE}}</w:t>
            </w:r>
          </w:p>
        </w:tc>
      </w:tr>
    </w:tbl>
    <w:p>
      <w:pPr>
        <w:spacing w:before="100"/>
      </w:pPr>
      <w:r>
        <w:rPr>
          <w:rFonts w:ascii="Calibri" w:hAnsi="Calibri" w:eastAsia="Calibri"/>
          <w:color w:val="68728A"/>
          <w:sz w:val="15"/>
        </w:rPr>
        <w:t>Fonte: report-dataset.json. Severidade informativa não participa deste perfil. Valores ausentes não são convertidos em zero.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860"/>
      <w:jc w:val="center"/>
      <w:tblLayout w:type="fixed"/>
      <w:tblLook w:firstColumn="1" w:firstRow="1" w:lastColumn="0" w:lastRow="0" w:noHBand="0" w:noVBand="1" w:val="04A0"/>
    </w:tblPr>
    <w:tblGrid>
      <w:gridCol w:w="4932"/>
      <w:gridCol w:w="4932"/>
    </w:tblGrid>
    <w:tr>
      <w:tc>
        <w:tcPr>
          <w:tcW w:type="dxa" w:w="7900"/>
        </w:tcPr>
        <w:p>
          <w:pPr>
            <w:jc w:val="left"/>
          </w:pPr>
          <w:r>
            <w:rPr>
              <w:rFonts w:ascii="Calibri" w:hAnsi="Calibri" w:eastAsia="Calibri"/>
              <w:color w:val="68728A"/>
              <w:sz w:val="15"/>
            </w:rPr>
            <w:t>Relatório Tenable  |  Uso restrito  |  {{TEMPLATE_VERSION}}</w:t>
          </w:r>
        </w:p>
      </w:tc>
      <w:tc>
        <w:tcPr>
          <w:tcW w:type="dxa" w:w="1960"/>
        </w:tcPr>
        <w:p>
          <w:pPr>
            <w:jc w:val="right"/>
          </w:pPr>
          <w:r>
            <w:rPr>
              <w:rFonts w:ascii="Calibri" w:hAnsi="Calibri" w:eastAsia="Calibri"/>
              <w:color w:val="68728A"/>
              <w:sz w:val="16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860"/>
      <w:jc w:val="center"/>
      <w:tblLayout w:type="fixed"/>
      <w:tblLook w:firstColumn="1" w:firstRow="1" w:lastColumn="0" w:lastRow="0" w:noHBand="0" w:noVBand="1" w:val="04A0"/>
    </w:tblPr>
    <w:tblGrid>
      <w:gridCol w:w="4932"/>
      <w:gridCol w:w="4932"/>
    </w:tblGrid>
    <w:tr>
      <w:tc>
        <w:tcPr>
          <w:tcW w:type="dxa" w:w="3200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17320" cy="314708"/>
                <wp:docPr id="1" name="Picture 1" descr="Logotipo ITProtect" title="Logotipo ITProtect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tprotect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3147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60"/>
          <w:vAlign w:val="center"/>
        </w:tcPr>
        <w:p>
          <w:pPr>
            <w:jc w:val="right"/>
            <w:pBdr>
              <w:bottom w:val="single" w:sz="8" w:space="1" w:color="2E59FC"/>
            </w:pBdr>
          </w:pPr>
          <w:r>
            <w:rPr>
              <w:rFonts w:ascii="Calibri" w:hAnsi="Calibri" w:eastAsia="Calibri"/>
              <w:b/>
              <w:color w:val="2E59FC"/>
              <w:sz w:val="15"/>
            </w:rPr>
            <w:t>RELATÓRIO DE VULNERABILIDADES</w:t>
            <w:br/>
          </w:r>
          <w:r>
            <w:rPr>
              <w:rFonts w:ascii="Calibri" w:hAnsi="Calibri" w:eastAsia="Calibri"/>
              <w:b/>
              <w:color w:val="0B1F4A"/>
              <w:sz w:val="15"/>
            </w:rPr>
            <w:t>{{CLIENT_NAME}}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 w:eastAsia="Calibri"/>
      <w:color w:val="0B1F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59F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controlado do relatório-base Tenable</dc:title>
  <dc:subject>Fase 5 - capa e seção de prova</dc:subject>
  <dc:creator>ITProtect</dc:creator>
  <cp:keywords>Tenable, relatório, base-docx-v0.1</cp:keywords>
  <dc:description>Template sanitizado: não contém nomes de pessoas, e-mails, IPs ou hostnames reais.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