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5985"/>
          <w:sz w:val="40"/>
        </w:rPr>
        <w:t>Informe Final: Análisis del Contexto Nacional y Global</w:t>
        <w:br/>
        <w:t>Migración y Remesas en Ecuador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Fecha: 27 de julio de 2026 | Repositorio: github.com/Thalia2003/Remesas</w:t>
        <w:br/>
        <w:t>Fuentes: Banco Mundial (WDI), Banco Central del Ecuador (BCE) y Naciones Unidas (UN DESA)</w:t>
      </w:r>
    </w:p>
    <w:p/>
    <w:p>
      <w:pPr>
        <w:pStyle w:val="Heading1"/>
      </w:pPr>
      <w:r>
        <w:rPr>
          <w:color w:val="075985"/>
        </w:rPr>
        <w:t>1. Resumen Ejecutivo</w:t>
      </w:r>
    </w:p>
    <w:p>
      <w:r>
        <w:rPr>
          <w:sz w:val="22"/>
        </w:rPr>
        <w:t>El presente estudio examina la evolución temporal, la distribución geográfica y la relevancia macroeconómica de las remesas de trabajadores recibidas por Ecuador, así como su relación descriptiva con la diáspora ecuatoriana en el exterior durante el periodo 1990–2025.</w:t>
      </w:r>
    </w:p>
    <w:p>
      <w:r>
        <w:rPr>
          <w:sz w:val="22"/>
        </w:rPr>
        <w:t>A través de la integración de tres fuentes oficiales multilaterales y nacionales (Banco Mundial, Banco Central del Ecuador y Naciones Unidas), el proyecto establece un flujo reproducible de procesamiento de datos, análisis econométrico descriptivo y visualización interactiva.</w:t>
      </w:r>
    </w:p>
    <w:p>
      <w:pPr>
        <w:pStyle w:val="Heading1"/>
      </w:pPr>
      <w:r>
        <w:rPr>
          <w:color w:val="075985"/>
        </w:rPr>
        <w:t>2. Hallazgos Cuantitativos y Macroeconómicos</w:t>
      </w:r>
    </w:p>
    <w:p>
      <w:r>
        <w:rPr>
          <w:b/>
        </w:rPr>
        <w:t xml:space="preserve">• Récord Histórico en 2025: </w:t>
      </w:r>
      <w:r>
        <w:t>Las remesas enviadas a Ecuador alcanzaron un estimado récord de $7,734.06 millones de USD, equivalente al 5.93% del PIB nominal ($130,320.56 millones de USD).</w:t>
      </w:r>
    </w:p>
    <w:p>
      <w:r>
        <w:rPr>
          <w:b/>
        </w:rPr>
        <w:t xml:space="preserve">• Evolución tras la Dolarización: </w:t>
      </w:r>
      <w:r>
        <w:t>Tras la crisis bancaria y dolarización del año 2000 ($1,322.3M USD, 7.54% del PIB), las remesas han crecido sostenidamente superando los $6,500M USD en 2024.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75985"/>
          </w:tcPr>
          <w:p>
            <w:pPr>
              <w:jc w:val="center"/>
            </w:pPr>
            <w:r>
              <w:rPr>
                <w:b/>
                <w:color w:val="FFFFFF"/>
              </w:rPr>
              <w:t>Año / Periodo</w:t>
            </w:r>
          </w:p>
        </w:tc>
        <w:tc>
          <w:tcPr>
            <w:tcW w:type="dxa" w:w="1872"/>
            <w:shd w:val="clear" w:color="auto" w:fill="075985"/>
          </w:tcPr>
          <w:p>
            <w:pPr>
              <w:jc w:val="center"/>
            </w:pPr>
            <w:r>
              <w:rPr>
                <w:b/>
                <w:color w:val="FFFFFF"/>
              </w:rPr>
              <w:t>Remesas (USD)</w:t>
            </w:r>
          </w:p>
        </w:tc>
        <w:tc>
          <w:tcPr>
            <w:tcW w:type="dxa" w:w="1872"/>
            <w:shd w:val="clear" w:color="auto" w:fill="075985"/>
          </w:tcPr>
          <w:p>
            <w:pPr>
              <w:jc w:val="center"/>
            </w:pPr>
            <w:r>
              <w:rPr>
                <w:b/>
                <w:color w:val="FFFFFF"/>
              </w:rPr>
              <w:t>PIB Nominal (USD)</w:t>
            </w:r>
          </w:p>
        </w:tc>
        <w:tc>
          <w:tcPr>
            <w:tcW w:type="dxa" w:w="1872"/>
            <w:shd w:val="clear" w:color="auto" w:fill="075985"/>
          </w:tcPr>
          <w:p>
            <w:pPr>
              <w:jc w:val="center"/>
            </w:pPr>
            <w:r>
              <w:rPr>
                <w:b/>
                <w:color w:val="FFFFFF"/>
              </w:rPr>
              <w:t>Remesas (% PIB)</w:t>
            </w:r>
          </w:p>
        </w:tc>
        <w:tc>
          <w:tcPr>
            <w:tcW w:type="dxa" w:w="1872"/>
            <w:shd w:val="clear" w:color="auto" w:fill="075985"/>
          </w:tcPr>
          <w:p>
            <w:pPr>
              <w:jc w:val="center"/>
            </w:pPr>
            <w:r>
              <w:rPr>
                <w:b/>
                <w:color w:val="FFFFFF"/>
              </w:rPr>
              <w:t>Diáspora ONU</w:t>
            </w:r>
          </w:p>
        </w:tc>
      </w:tr>
      <w:tr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1990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$51.00 M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$15,239 M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0.33%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139,204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1999 (Crisis)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$1,089.52 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$19,645 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5.55%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2000 (Dolarización)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$1,322.30 M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$17,539 M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7.54%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150,585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2010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$2,599.03 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$68,151 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3.81%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358,874</w:t>
            </w:r>
          </w:p>
        </w:tc>
      </w:tr>
      <w:tr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2020 (Pandemia)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$3,343.70 M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$95,865 M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3.49%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721,560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$6,544.36 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$123,802 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5.29%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747,749</w:t>
            </w:r>
          </w:p>
        </w:tc>
      </w:tr>
      <w:tr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2025 (Est.)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$7,734.06 M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$130,321 M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5.93%</w:t>
            </w:r>
          </w:p>
        </w:tc>
        <w:tc>
          <w:tcPr>
            <w:tcW w:type="dxa" w:w="1872"/>
            <w:shd w:val="clear" w:color="auto" w:fill="F1F5F9"/>
          </w:tcPr>
          <w:p>
            <w:pPr>
              <w:jc w:val="center"/>
            </w:pPr>
            <w:r>
              <w:t>-</w:t>
            </w:r>
          </w:p>
        </w:tc>
      </w:tr>
    </w:tbl>
    <w:p/>
    <w:p>
      <w:pPr>
        <w:pStyle w:val="Heading1"/>
      </w:pPr>
      <w:r>
        <w:rPr>
          <w:color w:val="075985"/>
        </w:rPr>
        <w:t>3. Desglose Origen y Destino (Microdatos BCE)</w:t>
      </w:r>
    </w:p>
    <w:p>
      <w:r>
        <w:rPr>
          <w:b/>
        </w:rPr>
        <w:t>Principales Países de Origen:</w:t>
        <w:br/>
      </w:r>
      <w:r>
        <w:t>1. Estados Unidos (más del 65% del flujo total de giros)</w:t>
        <w:br/>
        <w:t>2. España (segunda fuente histórica desde 1999)</w:t>
        <w:br/>
        <w:t>3. Italia (tercer emisor europeo)</w:t>
        <w:br/>
        <w:t>4. Chile y Reino Unido</w:t>
      </w:r>
    </w:p>
    <w:p>
      <w:r>
        <w:rPr>
          <w:b/>
        </w:rPr>
        <w:t>Principales Provincias Receptoras:</w:t>
        <w:br/>
      </w:r>
      <w:r>
        <w:t>1. Guayas y Pichincha (centros urbanos de mayor volumen)</w:t>
        <w:br/>
        <w:t>2. Azuay y Cañar (región Austro con mayor intensidad per cápita histórica)</w:t>
        <w:br/>
        <w:t>3. Manabí (polo receptor de la Costa)</w:t>
      </w:r>
    </w:p>
    <w:p>
      <w:pPr>
        <w:pStyle w:val="Heading2"/>
      </w:pPr>
      <w:r>
        <w:t>Gráfico 1: Remesas vs Diáspora Ecuatoriana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50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esas_vs_diaspo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Gráfico 2: Evolución Mensual de Remesas (BCE)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esas_mensu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75985"/>
        </w:rPr>
        <w:t>4. Cautela Analítica y Conclusiones</w:t>
      </w:r>
    </w:p>
    <w:p>
      <w:r>
        <w:rPr>
          <w:sz w:val="22"/>
        </w:rPr>
        <w:t>Las remesas recibidas y el stock de migrantes internacionales no miden el mismo universo poblacional. Por ello, los indicadores producidos describen tendencias paralelas y no prueban causalidad ni calculan 'remesa por migrante'. El proyecto ha sido completado con éxito, ofreciendo un flujo automatizado, pruebas unitarias integradas y un dashboard web interactivo.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