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aaRSs</w:t>
      </w:r>
    </w:p>
    <w:p>
      <w:pPr>
        <w:pStyle w:val="FirstParagraph"/>
      </w:pPr>
      <w:r>
        <w:t xml:space="preserve">Whole list:</w:t>
      </w:r>
      <w:r>
        <w:t xml:space="preserve"> </w:t>
      </w:r>
      <w:hyperlink r:id="rId21">
        <w:r>
          <w:rPr>
            <w:rStyle w:val="Hyperlink"/>
          </w:rPr>
          <w:t xml:space="preserve">https://www.uniprot.org/docs/aatrnasy</w:t>
        </w:r>
      </w:hyperlink>
    </w:p>
    <w:p>
      <w:pPr>
        <w:pStyle w:val="BodyText"/>
      </w:pPr>
      <w:r>
        <w:t xml:space="preserve">Number of aaRSs that are no fragments with less than 19 amino acids: 12178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InAarsSequenc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d24f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s://www.uniprot.org/docs/aatrnas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uniprot.org/docs/aatrnas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aaRSs</dc:title>
  <dc:creator/>
  <dcterms:created xsi:type="dcterms:W3CDTF">2019-02-11T23:44:48Z</dcterms:created>
  <dcterms:modified xsi:type="dcterms:W3CDTF">2019-02-11T23:44:48Z</dcterms:modified>
</cp:coreProperties>
</file>