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PDF único com os artigos baixados: entrega de 09 a 11/09/2026</w:t>
      </w:r>
    </w:p>
    <w:p>
      <w:pPr>
        <w:pStyle w:val="Subtitle"/>
      </w:pPr>
      <w:r>
        <w:t xml:space="preserve">Relação dos artigos reunidos em um único PDF a partir da pasta de referências do projeto, com a origem de cada um e sua situação no manuscrito</w:t>
      </w:r>
    </w:p>
    <w:p>
      <w:pPr>
        <w:pStyle w:val="FirstParagraph"/>
      </w:pPr>
      <w:r>
        <w:rPr>
          <w:b/>
          <w:bCs/>
        </w:rPr>
        <w:t xml:space="preserve">Resultado (15/09/2026):</w:t>
      </w:r>
      <w:r>
        <w:t xml:space="preserve"> </w:t>
      </w:r>
      <w:r>
        <w:rPr>
          <w:rStyle w:val="VerbatimChar"/>
        </w:rPr>
        <w:t xml:space="preserve">2026-09-11-artigos-compilados.pdf</w:t>
      </w:r>
      <w:r>
        <w:t xml:space="preserve">, com capa, sumário e marcador por</w:t>
      </w:r>
      <w:r>
        <w:t xml:space="preserve"> </w:t>
      </w:r>
      <w:r>
        <w:t xml:space="preserve">artigo, montado a partir dos</w:t>
      </w:r>
      <w:r>
        <w:t xml:space="preserve"> </w:t>
      </w:r>
      <w:r>
        <w:rPr>
          <w:b/>
          <w:bCs/>
        </w:rPr>
        <w:t xml:space="preserve">16 PDF da pasta</w:t>
      </w:r>
      <w:r>
        <w:rPr>
          <w:b/>
          <w:bCs/>
        </w:rPr>
        <w:t xml:space="preserve"> </w:t>
      </w:r>
      <w:hyperlink r:id="rId9">
        <w:r>
          <w:rPr>
            <w:rStyle w:val="VerbatimChar"/>
            <w:b/>
            <w:bCs/>
          </w:rPr>
          <w:t xml:space="preserve">docs/referencias/</w:t>
        </w:r>
      </w:hyperlink>
      <w:r>
        <w:t xml:space="preserve">, em ordem</w:t>
      </w:r>
      <w:r>
        <w:t xml:space="preserve"> </w:t>
      </w:r>
      <w:r>
        <w:t xml:space="preserve">alfabética de autoria. Há também uma cópia</w:t>
      </w:r>
      <w:r>
        <w:t xml:space="preserve"> </w:t>
      </w:r>
      <w:r>
        <w:rPr>
          <w:rStyle w:val="VerbatimChar"/>
        </w:rPr>
        <w:t xml:space="preserve">.zip</w:t>
      </w:r>
      <w:r>
        <w:t xml:space="preserve">. Os dois arquivos não são versionados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.gitignore</w:t>
      </w:r>
      <w:r>
        <w:t xml:space="preserve">), por serem obras de terceiros.</w:t>
      </w:r>
    </w:p>
    <w:bookmarkStart w:id="10" w:name="como-refazer"/>
    <w:p>
      <w:pPr>
        <w:pStyle w:val="Heading1"/>
      </w:pPr>
      <w:r>
        <w:t xml:space="preserve">1. Como refazer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python scripts\compilar_pdfs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docs</w:t>
      </w:r>
      <w:r>
        <w:br/>
      </w:r>
      <w:r>
        <w:rPr>
          <w:rStyle w:val="NormalTok"/>
        </w:rPr>
        <w:t xml:space="preserve">eferencias docs\entregas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09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artigos-compilados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pdf</w:t>
      </w:r>
    </w:p>
    <w:p>
      <w:pPr>
        <w:pStyle w:val="FirstParagraph"/>
      </w:pPr>
      <w:r>
        <w:t xml:space="preserve">O script junta os PDF da pasta em ordem alfabética do nome do arquivo, cria um marcador por</w:t>
      </w:r>
      <w:r>
        <w:t xml:space="preserve"> </w:t>
      </w:r>
      <w:r>
        <w:t xml:space="preserve">arquivo e comprime os fluxos de conteúdo. A capa com as referências completas foi gerada à</w:t>
      </w:r>
      <w:r>
        <w:t xml:space="preserve"> </w:t>
      </w:r>
      <w:r>
        <w:t xml:space="preserve">parte, a partir do sumário abaixo. Para incluir um artigo novo, basta salvá-lo na pasta e</w:t>
      </w:r>
      <w:r>
        <w:t xml:space="preserve"> </w:t>
      </w:r>
      <w:r>
        <w:t xml:space="preserve">rodar o comando de novo.</w:t>
      </w:r>
    </w:p>
    <w:bookmarkEnd w:id="10"/>
    <w:bookmarkStart w:id="11" w:name="artigos-da-pasta-e-como-estão-citados"/>
    <w:p>
      <w:pPr>
        <w:pStyle w:val="Heading1"/>
      </w:pPr>
      <w:r>
        <w:t xml:space="preserve">2. Artigos da pasta e como estão citados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#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Arquivo em</w:t>
            </w:r>
            <w:r>
              <w:rPr>
                <w:b/>
                <w:color w:val="2E352E"/>
                <w:sz w:val="20"/>
              </w:rPr>
              <w:t xml:space="preserve"> </w:t>
            </w:r>
            <w:r>
              <w:rPr>
                <w:b/>
                <w:color w:val="2E352E"/>
                <w:sz w:val="20"/>
                <w:rStyle w:val="VerbatimChar"/>
              </w:rPr>
              <w:t xml:space="preserve">docs/referencias/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Referência (autor-data)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No manuscrito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Acosta-Vargas-et-al-2022-IJERPH.pdf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Acosta-Vargas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i/>
                <w:iCs/>
              </w:rPr>
              <w:t xml:space="preserve">et al.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</w:rPr>
              <w:t xml:space="preserve">(2022), IJERPH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Não citado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Alajarmeh-2021-UAIS.pdf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Alajarmeh (2021), UAIS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Citado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Alismail-Chipidza-2021-JAMIA.pdf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Alismail e Chipidza (2021), JAMIA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Não citado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Barros-et-al-2024-WCGE.pdf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Barros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i/>
                <w:iCs/>
              </w:rPr>
              <w:t xml:space="preserve">et al.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</w:rPr>
              <w:t xml:space="preserve">(2024), SBC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Citado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Belli-2017-JCP-preprint-FGV.pdf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Belli (2017), Journal of Cyber Policy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Não citado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Brajnik-2009-ASSETS-author-version.pdf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Brajnik (2009), ASSETS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Citado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3371300.3383346.pdf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Frazão e Duarte (2020), W4A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Não citado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Freire-Castro-Fortes-2009-RAP.pdf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Freire, Castro e Fortes (2009), RAP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Citado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Ismailova-Inal-2022-IEEE-Access.pdf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Ismailova e Inal (2022), IEEE Access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Não citado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Petrie-Kheir-2007-CHI.pdf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Petrie e Kheir (2007), CHI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Não citado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2207676.2207736.pdf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Power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i/>
                <w:iCs/>
              </w:rPr>
              <w:t xml:space="preserve">et al.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</w:rPr>
              <w:t xml:space="preserve">(2012), CHI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Citado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Silva-LaRue-2015-RAP.pdf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Silva e La Rue (2015), RAP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Citado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Simao-Rodrigues-2005-CiInf.pdf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Simão e Rodrigues (2005), Ci. Inf.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Citado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Vieira-Caniato-Yonemotu-2017-Reciis.pdf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Vieira, Caniato e Yonemotu (2017), Reciis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Citado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2461121.2461124.pdf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Vigo, Brown e Conway (2013), W4A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Citado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Yi-2020-UAIS.pdf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Yi (2020), UAIS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Não citado</w:t>
            </w:r>
          </w:p>
        </w:tc>
      </w:tr>
    </w:tbl>
    <w:p>
      <w:pPr>
        <w:pStyle w:val="BodyText"/>
      </w:pPr>
      <w:r>
        <w:t xml:space="preserve">Sete artigos da pasta não entraram na lista de referências do manuscrito. São leitura de</w:t>
      </w:r>
      <w:r>
        <w:t xml:space="preserve"> </w:t>
      </w:r>
      <w:r>
        <w:t xml:space="preserve">apoio e podem voltar ao texto se a Discussão precisar deles (Belli, para o custo de dados e</w:t>
      </w:r>
      <w:r>
        <w:t xml:space="preserve"> </w:t>
      </w:r>
      <w:r>
        <w:rPr>
          <w:i/>
          <w:iCs/>
        </w:rPr>
        <w:t xml:space="preserve">zero-rating</w:t>
      </w:r>
      <w:r>
        <w:t xml:space="preserve">; Yi, Alismail e Acosta-Vargas, para saúde pública em outros países; Frazão,</w:t>
      </w:r>
      <w:r>
        <w:t xml:space="preserve"> </w:t>
      </w:r>
      <w:r>
        <w:t xml:space="preserve">Ismailova e Petrie, para a comparação entre ferramentas e a relação acessibilidade-usabilidade).</w:t>
      </w:r>
    </w:p>
    <w:bookmarkEnd w:id="11"/>
    <w:bookmarkStart w:id="12" w:name="Xfc214de83a1cfa60a6f55ea333d0c5ed5327df1"/>
    <w:p>
      <w:pPr>
        <w:pStyle w:val="Heading1"/>
      </w:pPr>
      <w:r>
        <w:t xml:space="preserve">3. Citados no manuscrito e ausentes da pasta</w:t>
      </w:r>
    </w:p>
    <w:p>
      <w:pPr>
        <w:pStyle w:val="FirstParagraph"/>
      </w:pPr>
      <w:r>
        <w:t xml:space="preserve">Dois artigos citados não estão em</w:t>
      </w:r>
      <w:r>
        <w:t xml:space="preserve"> </w:t>
      </w:r>
      <w:r>
        <w:rPr>
          <w:rStyle w:val="VerbatimChar"/>
        </w:rPr>
        <w:t xml:space="preserve">docs/referencias/</w:t>
      </w:r>
      <w:r>
        <w:t xml:space="preserve">:</w:t>
      </w:r>
      <w:r>
        <w:t xml:space="preserve"> </w:t>
      </w:r>
      <w:r>
        <w:rPr>
          <w:b/>
          <w:bCs/>
        </w:rPr>
        <w:t xml:space="preserve">Torres, Mazzoni e Alves (2002)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Moraes e González de Gómez (2007)</w:t>
      </w:r>
      <w:r>
        <w:t xml:space="preserve">, ambos na SciELO em acesso aberto</w:t>
      </w:r>
      <w:r>
        <w:t xml:space="preserve"> </w:t>
      </w:r>
      <w:r>
        <w:t xml:space="preserve">(DOI 10.1590/S0100-19652002000300009 e 10.1590/S1413-81232007000300002). Ao salvá-los na pasta,</w:t>
      </w:r>
      <w:r>
        <w:t xml:space="preserve"> </w:t>
      </w:r>
      <w:r>
        <w:t xml:space="preserve">rodar o comando da seção 1 para que entrem no PDF.</w:t>
      </w:r>
    </w:p>
    <w:bookmarkEnd w:id="12"/>
    <w:bookmarkStart w:id="13" w:name="documentos-normativos-e-relatórios"/>
    <w:p>
      <w:pPr>
        <w:pStyle w:val="Heading1"/>
      </w:pPr>
      <w:r>
        <w:t xml:space="preserve">4. Documentos normativos e relatórios</w:t>
      </w:r>
    </w:p>
    <w:p>
      <w:pPr>
        <w:pStyle w:val="FirstParagraph"/>
      </w:pPr>
      <w:r>
        <w:t xml:space="preserve">Constam nas referências, mas não são artigos: Constituição Federal; Decretos 5.296/2004 e</w:t>
      </w:r>
      <w:r>
        <w:t xml:space="preserve"> </w:t>
      </w:r>
      <w:r>
        <w:t xml:space="preserve">6.949/2009; Leis 12.527/2011, 12.965/2014, 13.146/2015 e 14.129/2021; eMAG 3.1; WCAG 2.1;</w:t>
      </w:r>
      <w:r>
        <w:t xml:space="preserve"> </w:t>
      </w:r>
      <w:r>
        <w:t xml:space="preserve">Caplovitz (1963, livro); TIC Domicílios 2024; Censo 2022; Web Almanac 2025; Panorama da Anatel.</w:t>
      </w:r>
    </w:p>
    <w:bookmarkEnd w:id="13"/>
    <w:sectPr>
      <w:headerReference r:id="R780eec7d02cc4144" w:type="default"/>
      <w:footerReference r:id="Rab0345adef294de1" w:type="default"/>
      <w:pgSz w:h="16838" w:w="11906"/>
      <w:pgMar w:bottom="1440" w:footer="720" w:header="720" w:left="1440" w:right="1440" w:top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color w:val="8A9484"/>
        <w:sz w:val="18"/>
      </w:rPr>
      <w:fldChar w:fldCharType="begin"/>
    </w:r>
    <w:r>
      <w:rPr>
        <w:color w:val="8A9484"/>
        <w:sz w:val="18"/>
      </w:rPr>
      <w:instrText xml:space="preserve"> PAGE </w:instrText>
    </w:r>
    <w:r>
      <w:rPr>
        <w:color w:val="8A9484"/>
        <w:sz w:val="18"/>
      </w:rPr>
      <w:fldChar w:fldCharType="separate"/>
    </w:r>
    <w:r>
      <w:rPr>
        <w:color w:val="8A9484"/>
        <w:sz w:val="18"/>
      </w:rPr>
      <w:t>1</w:t>
    </w:r>
    <w:r>
      <w:rPr>
        <w:color w:val="8A9484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rPr>
        <w:color w:val="8A9484"/>
        <w:sz w:val="18"/>
      </w:rPr>
      <w:t>PDF único com os artigos baixados: entrega de 09 a 11/09/2026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hanging="360" w:left="567"/>
      </w:pPr>
      <w:rPr>
        <w:rFonts w:ascii="Symbol" w:hAnsi="Symbol"/>
      </w:rPr>
    </w:lvl>
  </w:abstractNum>
  <w:abstractNum w:abstractNumId="2">
    <w:lvl w:ilvl="0">
      <w:numFmt w:val="decimal"/>
      <w:lvlText w:val="%1."/>
      <w:lvlJc w:val="left"/>
      <w:pPr>
        <w:ind w:hanging="360" w:left="567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style w:default="true" w:styleId="Normal" w:type="paragraph">
    <w:name w:val="Normal"/>
    <w:pPr>
      <w:spacing w:after="200" w:line="312" w:lineRule="auto"/>
      <w:jc w:val="both"/>
    </w:pPr>
    <w:rPr>
      <w:rFonts w:ascii="Calibri" w:hAnsi="Calibri"/>
      <w:color w:val="2E352E"/>
      <w:sz w:val="21"/>
    </w:rPr>
  </w:style>
  <w:style w:styleId="Heading1" w:type="paragraph">
    <w:name w:val="heading 1"/>
    <w:basedOn w:val="Normal"/>
    <w:pPr>
      <w:keepNext/>
      <w:keepLines/>
      <w:spacing w:after="200" w:before="480"/>
      <w:jc w:val="left"/>
      <w:outlineLvl w:val="0"/>
    </w:pPr>
    <w:rPr>
      <w:rFonts w:ascii="Calibri" w:hAnsi="Calibri"/>
      <w:b/>
      <w:color w:val="4A6741"/>
      <w:sz w:val="30"/>
    </w:rPr>
  </w:style>
  <w:style w:styleId="Heading2" w:type="paragraph">
    <w:name w:val="heading 2"/>
    <w:basedOn w:val="Normal"/>
    <w:pPr>
      <w:keepNext/>
      <w:keepLines/>
      <w:spacing w:after="140" w:before="320"/>
      <w:jc w:val="left"/>
      <w:outlineLvl w:val="1"/>
    </w:pPr>
    <w:rPr>
      <w:rFonts w:ascii="Calibri" w:hAnsi="Calibri"/>
      <w:b/>
      <w:color w:val="2E352E"/>
      <w:sz w:val="24"/>
    </w:rPr>
  </w:style>
  <w:style w:styleId="Title" w:type="paragraph">
    <w:name w:val="Title"/>
    <w:basedOn w:val="Normal"/>
    <w:next w:val="Normal"/>
    <w:pPr>
      <w:spacing w:after="120" w:before="0"/>
      <w:jc w:val="left"/>
    </w:pPr>
    <w:rPr>
      <w:b/>
      <w:color w:val="4A6741"/>
      <w:sz w:val="40"/>
    </w:rPr>
  </w:style>
  <w:style w:styleId="Subtitle" w:type="paragraph">
    <w:name w:val="Subtitle"/>
    <w:basedOn w:val="Normal"/>
    <w:next w:val="Normal"/>
    <w:pPr>
      <w:spacing w:after="480" w:before="0"/>
      <w:jc w:val="left"/>
    </w:pPr>
    <w:rPr>
      <w:color w:val="55604F"/>
      <w:sz w:val="22"/>
    </w:rPr>
  </w:style>
  <w:style w:styleId="Heading3" w:type="paragraph">
    <w:name w:val="heading 3"/>
    <w:basedOn w:val="Heading2"/>
    <w:pPr>
      <w:spacing w:after="100" w:before="240"/>
      <w:outlineLvl w:val="2"/>
    </w:pPr>
    <w:rPr>
      <w:sz w:val="22"/>
    </w:rPr>
  </w:style>
  <w:style w:styleId="BodyText" w:type="paragraph">
    <w:name w:val="Body Text"/>
    <w:basedOn w:val="Normal"/>
  </w:style>
  <w:style w:styleId="FirstParagraph" w:type="paragraph">
    <w:name w:val="First Paragraph"/>
    <w:basedOn w:val="Normal"/>
  </w:style>
  <w:style w:styleId="Compact" w:type="paragraph">
    <w:name w:val="Compact"/>
    <w:basedOn w:val="Normal"/>
    <w:pPr>
      <w:spacing w:after="60" w:before="60" w:line="276" w:lineRule="auto"/>
      <w:jc w:val="left"/>
    </w:pPr>
    <w:rPr>
      <w:sz w:val="20"/>
    </w:rPr>
  </w:style>
  <w:style w:styleId="TableCaption" w:type="paragraph">
    <w:name w:val="Table Caption"/>
    <w:basedOn w:val="Normal"/>
    <w:pPr>
      <w:keepNext/>
      <w:spacing w:after="60" w:before="120"/>
    </w:pPr>
    <w:rPr>
      <w:i/>
      <w:sz w:val="20"/>
    </w:rPr>
  </w:style>
  <w:style w:styleId="SourceCode" w:type="paragraph">
    <w:name w:val="Source Code"/>
    <w:basedOn w:val="Normal"/>
    <w:pPr>
      <w:spacing w:after="60" w:before="60" w:line="240" w:lineRule="auto"/>
      <w:jc w:val="left"/>
      <w:shd w:fill="EFF4ED" w:val="clear"/>
    </w:pPr>
    <w:rPr>
      <w:rFonts w:ascii="Consolas" w:hAnsi="Consolas"/>
      <w:sz w:val="18"/>
    </w:rPr>
  </w:style>
  <w:style w:styleId="VerbatimChar" w:type="character">
    <w:name w:val="Verbatim Char"/>
    <w:rPr>
      <w:rFonts w:ascii="Consolas" w:hAnsi="Consolas"/>
      <w:sz w:val="19"/>
    </w:rPr>
  </w:style>
  <w:style w:styleId="Table" w:type="table">
    <w:name w:val="Table"/>
    <w:tblPr>
      <w:tblW w:type="pct" w:w="5000"/>
      <w:tblBorders>
        <w:top w:color="4A6741" w:sz="12" w:val="single"/>
        <w:bottom w:color="4A6741" w:sz="12" w:val="single"/>
        <w:insideH w:color="D8E0D4" w:sz="4" w:val="single"/>
      </w:tblBorders>
      <w:tblCellMar>
        <w:left w:type="dxa" w:w="100"/>
        <w:right w:type="dxa" w:w="100"/>
      </w:tblCellMar>
    </w:tbl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780eec7d02cc4144" Target="header1.xml" Type="http://schemas.openxmlformats.org/officeDocument/2006/relationships/header" /><Relationship Id="Rab0345adef294de1" Target="footer1.xml" Type="http://schemas.openxmlformats.org/officeDocument/2006/relationships/footer" /><Relationship Type="http://schemas.openxmlformats.org/officeDocument/2006/relationships/hyperlink" Id="rId9" Target="../referencia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referencia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único com os artigos baixados: entrega de 09 a 11/09/2026</dc:title>
  <dc:creator/>
  <cp:keywords/>
  <dcterms:created xsi:type="dcterms:W3CDTF">2026-09-15T15:26:50Z</dcterms:created>
  <dcterms:modified xsi:type="dcterms:W3CDTF">2026-09-15T15:26:50Z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Relação dos artigos reunidos em um único PDF a partir da pasta de referências do projeto, com a origem de cada um e sua situação no manuscrito</vt:lpwstr>
  </property>
</Properties>
</file>