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Entrega de 09 a 11/09/2026: grupo, revista escolhida e introdução do artigo</w:t>
      </w:r>
    </w:p>
    <w:p>
      <w:pPr>
        <w:pStyle w:val="Subtitle"/>
      </w:pPr>
      <w:r>
        <w:t xml:space="preserve">Identificação do grupo, revista escolhida e introdução do artigo científico, conforme a atividade proposta na disciplina 5-PJS 2026.2_Noturno (professor Ricardo Marciano)</w:t>
      </w:r>
    </w:p>
    <w:bookmarkStart w:id="9" w:name="identificação-do-grupo-e-tema-escolhido"/>
    <w:p>
      <w:pPr>
        <w:pStyle w:val="Heading1"/>
      </w:pPr>
      <w:r>
        <w:t xml:space="preserve">1. Identificação do grupo e tema escolhido</w:t>
      </w:r>
    </w:p>
    <w:p>
      <w:pPr>
        <w:pStyle w:val="FirstParagraph"/>
      </w:pPr>
      <w:r>
        <w:t xml:space="preserve">Conforme solicitado na atividade, o grupo escolheu uma revista científica e um dos temas propostos para o desenvolvimento do projeto em forma de artigo. A identificação completa do trabalho é apresentada a seguir.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Componentes do grupo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Thalles Ferreira Costa; Bruno de Araujo de Jesus; Jonathas Batista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Tema escolhido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Tema 6 — Avaliador Automático de Acessibilidade e Direitos Digitais em Saúde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Título do projeto (MVP de software)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AcessiSaúde-Audit: Ferramenta Computacional de Auditoria Contínua de Acessibilidade Web (WCAG/LBI) para Plataformas Públicas de Saúde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Título do artigo científico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Auditoria Algorítmica de Acessibilidade em Plataformas Digitais de Saúde no Rio de Janeiro: Uma Análise Interdisciplinar sob a Ótica da LBI e do Direito à Saúde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Título ajustado às normas da revista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Acessibilidade digital em plataformas públicas de saúde no Rio de Janeiro: auditoria automatizada contínua e qualificação jurídica das barreiras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Áreas interdisciplinares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Ciência da Computação / Tecnologia da Informação (TI); Saúde Coletiva / Saúde Pública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Revista escolhida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RECIIS — Revista Eletrônica de Comunicação, Informação &amp; Inovação em Saúde (Icict/Fiocruz)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Data da entrega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15/09/2026</w:t>
            </w:r>
          </w:p>
        </w:tc>
      </w:tr>
    </w:tbl>
    <w:bookmarkEnd w:id="9"/>
    <w:bookmarkStart w:id="10" w:name="revista-escolhida-e-normas-incorporadas"/>
    <w:p>
      <w:pPr>
        <w:pStyle w:val="Heading1"/>
      </w:pPr>
      <w:r>
        <w:t xml:space="preserve">2. Revista escolhida e normas incorporadas</w:t>
      </w:r>
    </w:p>
    <w:p>
      <w:pPr>
        <w:pStyle w:val="FirstParagraph"/>
      </w:pPr>
      <w:r>
        <w:rPr>
          <w:b/>
          <w:bCs/>
        </w:rPr>
        <w:t xml:space="preserve">Reciis — Revista Eletrônica de Comunicação, Informação e Inovação em Saúde</w:t>
      </w:r>
      <w:r>
        <w:t xml:space="preserve"> </w:t>
      </w:r>
      <w:r>
        <w:t xml:space="preserve">(Fiocruz/Icict, Rio de Janeiro). ISSN 1981-6278. Periódico de acesso aberto, avaliação duplo-cega, sem taxa de publicação.</w:t>
      </w:r>
    </w:p>
    <w:p>
      <w:pPr>
        <w:pStyle w:val="BodyText"/>
      </w:pPr>
      <w:r>
        <w:t xml:space="preserve">Seção pretendida:</w:t>
      </w:r>
      <w:r>
        <w:t xml:space="preserve"> </w:t>
      </w:r>
      <w:r>
        <w:rPr>
          <w:b/>
          <w:bCs/>
        </w:rPr>
        <w:t xml:space="preserve">Artigos originais</w:t>
      </w:r>
      <w:r>
        <w:t xml:space="preserve">.</w:t>
      </w:r>
    </w:p>
    <w:p>
      <w:pPr>
        <w:pStyle w:val="BodyText"/>
      </w:pPr>
      <w:r>
        <w:t xml:space="preserve">Normas da revista já incorporadas ao manuscrito: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Exigência da Reciis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Situação no manuscrito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40 a 60 mil caracteres com espaços, do início ao fim do documento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59.984 caracteres, conferidos por script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Título, resumo e palavras-chave em português, inglês e espanhol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Atendido; resumos com 150, 146 e 146 palavras (limite: 150)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Cinco palavras-chave por idioma, separadas por ponto e vírgula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Atendido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Seções numeradas: introdução, metodologia, resultados, discussão, considerações finais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Atendido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Citação autor-data (NBR 10520/2023) e referências NBR 6023/2025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Atendido, 25 referências, todas citadas no corpo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Página A4, margens de 2 cm, Arial 11, espaçamento 1,5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 aplicar na conversão do manuscrito para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.docx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Manuscrito sem identificação de autoria (avaliação duplo-cega)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Atendido; folha de rosto em documento separado</w:t>
            </w:r>
          </w:p>
        </w:tc>
      </w:tr>
    </w:tbl>
    <w:p>
      <w:pPr>
        <w:pStyle w:val="BodyText"/>
      </w:pPr>
      <w:r>
        <w:t xml:space="preserve">Justificativa da escolha: a revista cobre, entre suas temáticas, tecnologias de informação e comunicação aplicadas à saúde, indicadores e monitoramento de políticas de saúde, e políticas de comunicação, informação e saúde. O artigo dialoga com trabalho publicado na própria Reciis (Vieira; Caniato; Yonemotu, 2017) e com o campo da informação em saúde (Torres; Mazzoni; Alves, 2002; Moraes; González de Gómez, 2007).</w:t>
      </w:r>
    </w:p>
    <w:bookmarkEnd w:id="10"/>
    <w:bookmarkStart w:id="15" w:name="artigo-iniciado-introdução"/>
    <w:p>
      <w:pPr>
        <w:pStyle w:val="Heading1"/>
      </w:pPr>
      <w:r>
        <w:t xml:space="preserve">3. Artigo iniciado: introdução</w:t>
      </w:r>
    </w:p>
    <w:p>
      <w:pPr>
        <w:pStyle w:val="FirstParagraph"/>
      </w:pPr>
      <w:r>
        <w:t xml:space="preserve">O texto abaixo é a seção 1 do manuscrito, já redigida no formato da revista (sistema autor-data, NBR 10520/2023). No manuscrito, as subseções correspondem a 1.1 a 1.4.</w:t>
      </w:r>
    </w:p>
    <w:p>
      <w:pPr>
        <w:pStyle w:val="BodyText"/>
      </w:pPr>
      <w:r>
        <w:rPr>
          <w:b/>
          <w:bCs/>
        </w:rPr>
        <w:t xml:space="preserve">Palavras-chave:</w:t>
      </w:r>
      <w:r>
        <w:t xml:space="preserve"> </w:t>
      </w:r>
      <w:r>
        <w:t xml:space="preserve">Pessoas com Deficiência; Acesso aos Serviços de Saúde; Saúde Digital; Direito à Saúde; Exclusão Digital.</w:t>
      </w:r>
    </w:p>
    <w:bookmarkStart w:id="11" w:name="o-deslocamento-do-acesso"/>
    <w:p>
      <w:pPr>
        <w:pStyle w:val="Heading2"/>
      </w:pPr>
      <w:r>
        <w:t xml:space="preserve">3.1 O deslocamento do acesso</w:t>
      </w:r>
    </w:p>
    <w:p>
      <w:pPr>
        <w:pStyle w:val="FirstParagraph"/>
      </w:pPr>
      <w:r>
        <w:t xml:space="preserve">Quando um serviço público de saúde migra para o meio digital, a acessibilidade da interface deixa de ser questão de usabilidade e passa a ser condição de exercício de um direito. Um botão de confirmação de agendamento que não recebe foco do teclado não entrega à pessoa com deficiência motora uma experiência ruim: entrega-lhe a ausência da consulta.</w:t>
      </w:r>
    </w:p>
    <w:p>
      <w:pPr>
        <w:pStyle w:val="BodyText"/>
      </w:pPr>
      <w:r>
        <w:t xml:space="preserve">O art. 196 da Constituição Federal estabelece a saúde como direito de todos e dever do Estado, garantido mediante políticas de acesso universal e igualitário (Brasil, 1988). Quando o Estado elege o canal digital como via preferencial de um serviço, às vezes como via única, a acessibilidade desse canal incorpora-se ao dever constitucional com a mesma força com que a rampa se incorpora ao dever de acesso físico à unidade de saúde. Digitalizar não cria serviço novo: transporta um serviço existente para um meio em que as barreiras mudam de natureza e conservam a consequência jurídica.</w:t>
      </w:r>
    </w:p>
    <w:p>
      <w:pPr>
        <w:pStyle w:val="BodyText"/>
      </w:pPr>
      <w:r>
        <w:t xml:space="preserve">A Lei Brasileira de Inclusão (Brasil, 2015) fornece o elo entre o dever constitucional e o padrão técnico. Seu art. 63, caput, torna obrigatória a acessibilidade nos sítios da internet mantidos por órgãos de governo,</w:t>
      </w:r>
      <w:r>
        <w:t xml:space="preserve"> </w:t>
      </w:r>
      <w:r>
        <w:t xml:space="preserve">“conforme as melhores práticas e diretrizes de acessibilidade adotadas internacionalmente”</w:t>
      </w:r>
      <w:r>
        <w:t xml:space="preserve">. O dispositivo é, tecnicamente, uma norma em branco: o legislador incorporou o padrão por remissão em vez de descrevê-lo. No arranjo brasileiro, essa remissão se concretiza pelo Modelo de Acessibilidade em Governo Eletrônico (Brasil, 2014a), construído sobre as diretrizes do World Wide Web Consortium, e pelo art. 47 do Decreto 5.296/2004 (Brasil, 2004), que já determinava acessibilidade obrigatória nos portais da administração pública. A Lei 14.129/2021 (Brasil, 2021), que rege a prestação digital de serviços públicos, fecha o circuito: seu art. 3º, XIX, inclui entre os princípios do governo digital a acessibilidade da pessoa com deficiência, nos termos da Lei Brasileira de Inclusão.</w:t>
      </w:r>
    </w:p>
    <w:bookmarkEnd w:id="11"/>
    <w:bookmarkStart w:id="12" w:name="a-lacuna"/>
    <w:p>
      <w:pPr>
        <w:pStyle w:val="Heading2"/>
      </w:pPr>
      <w:r>
        <w:t xml:space="preserve">3.2 A lacuna</w:t>
      </w:r>
    </w:p>
    <w:p>
      <w:pPr>
        <w:pStyle w:val="FirstParagraph"/>
      </w:pPr>
      <w:r>
        <w:t xml:space="preserve">Três literaturas se aproximam do problema sem convergir.</w:t>
      </w:r>
    </w:p>
    <w:p>
      <w:pPr>
        <w:pStyle w:val="BodyText"/>
      </w:pPr>
      <w:r>
        <w:t xml:space="preserve">A primeira, de avaliação técnica de conformidade, tem no Brasil percurso de duas décadas. Simão e Rodrigues (2005) já registravam barreiras no portal federal de serviços. Freire, Castro e Fortes (2009) mediram 1.232 páginas dos 27 sítios estaduais entre 1996 e 2007 e verificaram avanço modesto, mesmo após o prazo fixado pelo Decreto 5.296/2004: a existência da norma não produziu, por si, efeito mensurável. Silva e La Rue (2015) concluíram que nenhum de oito portais do Executivo estadual atendia integralmente aos critérios mínimos, e Barros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(2024) chegaram a conclusão equivalente sobre a plataforma centralizada do governo federal. Fora do país, Alajarmeh (2021) auditou os sítios oficiais de saúde pública de 25 países durante a pandemia e encontrou apenas três aprovados em todos os testes, com predomínio de violações dos princípios perceptível e operável, a mesma distribuição que este estudo encontrará.</w:t>
      </w:r>
    </w:p>
    <w:p>
      <w:pPr>
        <w:pStyle w:val="BodyText"/>
      </w:pPr>
      <w:r>
        <w:t xml:space="preserve">São trabalhos convergentes no diagnóstico, com três fragilidades recorrentes: raramente declaram a cobertura da ferramenta, o que torna qualquer percentual um número sobre denominador oculto; quase nunca reportam a perda de páginas na coleta; e não qualificam juridicamente o achado, de modo que o relatório se dirige ao desenvolvedor, e não ao gestor ou ao órgão de controle.</w:t>
      </w:r>
    </w:p>
    <w:p>
      <w:pPr>
        <w:pStyle w:val="BodyText"/>
      </w:pPr>
      <w:r>
        <w:t xml:space="preserve">A segunda literatura examina a validade das diretrizes e a capacidade das ferramentas de operacionalizá-las. Brajnik (2009) mostrou que critérios anunciados como testáveis variam entre avaliadores. Vigo, Brown e Conway (2013) compararam seis ferramentas e encontraram cobertura de, no máximo, 50% dos critérios de sucesso, com completude entre 14% e 38%. E Power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(2012), a partir de 1.383 instâncias encontradas por 32 usuários cegos em 16 sítios, verificaram que apenas 50,4% dos problemas vividos correspondiam a algum critério de sucesso. Somadas, as conclusões delimitam o alcance do método automático: ele mede uma parte da norma, e a norma cobre uma parte da experiência.</w:t>
      </w:r>
    </w:p>
    <w:p>
      <w:pPr>
        <w:pStyle w:val="BodyText"/>
      </w:pPr>
      <w:r>
        <w:t xml:space="preserve">A terceira literatura, do campo da informação e comunicação em saúde, oferece ao problema o enquadramento mais antigo e menos usado. Torres, Mazzoni e Alves (2002) já formulavam a acessibilidade à informação no espaço digital como condição de acesso, e não como atributo de interface, e Moraes e González de Gómez (2007) mostraram que a informação em saúde é dimensão constitutiva do cuidado e da capacidade de resposta do Estado, e não seu suporte. Vieira, Caniato e Yonemotu (2017) mostraram, a partir das percepções de pessoas com deficiência auditiva, que a barreira comunicacional opera dentro do serviço, e não apenas no acesso a ele; deslocada para o canal digital, ela muda de forma e conserva a natureza. Nessa chave, a barreira de acessibilidade em um portal de saúde é também violação do direito à informação pública, que a Lei de Acesso à Informação (Brasil, 2011) torna explícito ao exigir, no art. 8º, § 3º, VIII, conteúdo acessível às pessoas com deficiência. A literatura jurídica sobre o art. 63, por fim, analisa o dispositivo em chave doutrinária, sem instrumento de mensuração.</w:t>
      </w:r>
    </w:p>
    <w:p>
      <w:pPr>
        <w:pStyle w:val="BodyText"/>
      </w:pPr>
      <w:r>
        <w:t xml:space="preserve">A lacuna de que este trabalho trata está na articulação. Não há instrumento que produza, do mesmo dado e com procedência auditável, a afirmação técnica e a proposição jurídica correspondente, indicando qual dispositivo foi violado, quem é o sujeito obrigado e por qual via a obrigação é exigível.</w:t>
      </w:r>
    </w:p>
    <w:bookmarkEnd w:id="12"/>
    <w:bookmarkStart w:id="13" w:name="o-usuário-periférico"/>
    <w:p>
      <w:pPr>
        <w:pStyle w:val="Heading2"/>
      </w:pPr>
      <w:r>
        <w:t xml:space="preserve">3.3 O usuário periférico</w:t>
      </w:r>
    </w:p>
    <w:p>
      <w:pPr>
        <w:pStyle w:val="FirstParagraph"/>
      </w:pPr>
      <w:r>
        <w:t xml:space="preserve">A barreira de acesso ao serviço público digital de saúde não é apenas sensorial. Plano pré-pago, aparelho de entrada, rede instável e escolaridade heterogênea obstruem o acesso com o mesmo efeito prático, e frequentemente na mesma pessoa. O peso de uma página, em bytes trafegados, é barreira que as diretrizes não enxergam, porque pressupõem um usuário que já chegou.</w:t>
      </w:r>
    </w:p>
    <w:p>
      <w:pPr>
        <w:pStyle w:val="BodyText"/>
      </w:pPr>
      <w:r>
        <w:t xml:space="preserve">Os dados sustentam a sobreposição. O Censo 2022 identificou 14,4 milhões de pessoas com deficiência, 7,3% da população de dois anos ou mais; entre elas, a taxa de analfabetismo era de 21,3%, quatro vezes a das pessoas sem deficiência, e apenas 7,4% haviam concluído o ensino superior, contra 19,5% (IBGE, 2025). A TIC Domicílios 2024 mostra que apenas 3% das pessoas das classes D e E reúnem as condições do indicador de conectividade significativa, contra 73% na classe A, e que 86% de quem tem celular nessas classes acessa a rede exclusivamente por esse aparelho (CGI.br, 2025). São as condições concretas de uso da interface, e as que a homologação em desktop, com banda larga, deixa de simular.</w:t>
      </w:r>
    </w:p>
    <w:p>
      <w:pPr>
        <w:pStyle w:val="BodyText"/>
      </w:pPr>
      <w:r>
        <w:t xml:space="preserve">Este estudo adota a expressão</w:t>
      </w:r>
      <w:r>
        <w:t xml:space="preserve"> </w:t>
      </w:r>
      <w:r>
        <w:rPr>
          <w:i/>
          <w:iCs/>
        </w:rPr>
        <w:t xml:space="preserve">usuário periférico</w:t>
      </w:r>
      <w:r>
        <w:t xml:space="preserve"> </w:t>
      </w:r>
      <w:r>
        <w:t xml:space="preserve">para designar essa posição composta: quem depende exclusivamente do sistema público de saúde e o acessa por infraestrutura de conectividade precária. A categoria se sobrepõe à de pessoa com deficiência sem substituí-la, e o trabalho mede as duas dimensões separadamente, porque têm fundamentos jurídicos e correções distintos.</w:t>
      </w:r>
    </w:p>
    <w:bookmarkEnd w:id="13"/>
    <w:bookmarkStart w:id="14" w:name="objetivos"/>
    <w:p>
      <w:pPr>
        <w:pStyle w:val="Heading2"/>
      </w:pPr>
      <w:r>
        <w:t xml:space="preserve">3.4 Objetivos</w:t>
      </w:r>
    </w:p>
    <w:p>
      <w:pPr>
        <w:pStyle w:val="FirstParagraph"/>
      </w:pPr>
      <w:r>
        <w:rPr>
          <w:b/>
          <w:bCs/>
        </w:rPr>
        <w:t xml:space="preserve">Objetivo geral.</w:t>
      </w:r>
      <w:r>
        <w:t xml:space="preserve"> </w:t>
      </w:r>
      <w:r>
        <w:t xml:space="preserve">Desenvolver, validar e aplicar um instrumento de auditoria contínua que converta falhas técnicas de acessibilidade em proposições jurídicas fundamentadas.</w:t>
      </w:r>
    </w:p>
    <w:p>
      <w:pPr>
        <w:pStyle w:val="BodyText"/>
      </w:pPr>
      <w:r>
        <w:rPr>
          <w:b/>
          <w:bCs/>
        </w:rPr>
        <w:t xml:space="preserve">Objetivos específicos.</w:t>
      </w:r>
      <w:r>
        <w:t xml:space="preserve"> </w:t>
      </w:r>
      <w:r>
        <w:t xml:space="preserve">(1) Modelar a correspondência entre os 50 critérios de sucesso de níveis A e AA das diretrizes de acessibilidade para conteúdo web, versão 2.1 (W3C, 2018), e o ordenamento jurídico brasileiro; (2) aferir o instrumento contra conjunto de referência com barreiras conhecidas; (3) aplicá-lo a plataformas de saúde do Rio de Janeiro, estratificadas por esfera federativa; (4) quantificar o custo de acesso em dados móveis como barreira; (5) caracterizar o perfil de exclusão por grupo afetado.</w:t>
      </w:r>
    </w:p>
    <w:bookmarkEnd w:id="14"/>
    <w:bookmarkEnd w:id="15"/>
    <w:bookmarkStart w:id="16" w:name="referências-citadas-na-introdução"/>
    <w:p>
      <w:pPr>
        <w:pStyle w:val="Heading1"/>
      </w:pPr>
      <w:r>
        <w:t xml:space="preserve">4. Referências citadas na introdução</w:t>
      </w:r>
    </w:p>
    <w:p>
      <w:pPr>
        <w:pStyle w:val="FirstParagraph"/>
      </w:pPr>
      <w:r>
        <w:t xml:space="preserve">ALAJARMEH, Nancy. Evaluating the accessibility of public health websites: an exploratory cross-country study.</w:t>
      </w:r>
      <w:r>
        <w:t xml:space="preserve"> </w:t>
      </w:r>
      <w:r>
        <w:rPr>
          <w:b/>
          <w:bCs/>
        </w:rPr>
        <w:t xml:space="preserve">Universal Access in the Information Society</w:t>
      </w:r>
      <w:r>
        <w:t xml:space="preserve">, Berlin, v. 21, n. 3, p. 771-789, 2021. DOI: https://doi.org/10.1007/s10209-020-00788-7.</w:t>
      </w:r>
    </w:p>
    <w:p>
      <w:pPr>
        <w:pStyle w:val="BodyText"/>
      </w:pPr>
      <w:r>
        <w:t xml:space="preserve">BARROS, Ygor Santos; OUTÃO, Juliana Carvalho Silva do; SACRAMENTO, Carolina; FERREIRA, Simone Bacellar Leal; PIMENTEL, Mariano Gomes; SANTOS, Rodrigo Pereira dos. Avaliação de acessibilidade da plataforma Gov.br por ferramentas automatizadas. In: LATIN AMERICAN SYMPOSIUM ON DIGITAL GOVERNMENT, 12., 2024.</w:t>
      </w:r>
      <w:r>
        <w:t xml:space="preserve"> </w:t>
      </w:r>
      <w:r>
        <w:rPr>
          <w:b/>
          <w:bCs/>
        </w:rPr>
        <w:t xml:space="preserve">Anais</w:t>
      </w:r>
      <w:r>
        <w:t xml:space="preserve"> </w:t>
      </w:r>
      <w:r>
        <w:t xml:space="preserve">[…]. Porto Alegre: Sociedade Brasileira de Computação, 2024. p. 50-61. DOI: https://doi.org/10.5753/wcge.2024.2282.</w:t>
      </w:r>
    </w:p>
    <w:p>
      <w:pPr>
        <w:pStyle w:val="BodyText"/>
      </w:pPr>
      <w:r>
        <w:t xml:space="preserve">BRAJNIK, Giorgio. Validity and reliability of web accessibility guidelines. In: INTERNATIONAL ACM SIGACCESS CONFERENCE ON COMPUTERS AND ACCESSIBILITY, 11., 2009, Pittsburgh.</w:t>
      </w:r>
      <w:r>
        <w:t xml:space="preserve"> </w:t>
      </w:r>
      <w:r>
        <w:rPr>
          <w:b/>
          <w:bCs/>
        </w:rPr>
        <w:t xml:space="preserve">Proceedings</w:t>
      </w:r>
      <w:r>
        <w:t xml:space="preserve"> </w:t>
      </w:r>
      <w:r>
        <w:t xml:space="preserve">[…]. New York: ACM, 2009. p. 131-138. DOI: https://doi.org/10.1145/1639642.1639666.</w:t>
      </w:r>
    </w:p>
    <w:p>
      <w:pPr>
        <w:pStyle w:val="BodyText"/>
      </w:pPr>
      <w:r>
        <w:t xml:space="preserve">BRASIL. [Constituição (1988)].</w:t>
      </w:r>
      <w:r>
        <w:t xml:space="preserve"> </w:t>
      </w:r>
      <w:r>
        <w:rPr>
          <w:b/>
          <w:bCs/>
        </w:rPr>
        <w:t xml:space="preserve">Constituição da República Federativa do Brasil de 1988</w:t>
      </w:r>
      <w:r>
        <w:t xml:space="preserve">. Brasília, DF: Presidência da República, [2024]. Disponível em: http://www.planalto.gov.br/ccivil_03/Constituicao/Constituicao.htm. Acesso em: 16 ago. 2026.</w:t>
      </w:r>
    </w:p>
    <w:p>
      <w:pPr>
        <w:pStyle w:val="BodyText"/>
      </w:pPr>
      <w:r>
        <w:t xml:space="preserve">BRASIL.</w:t>
      </w:r>
      <w:r>
        <w:t xml:space="preserve"> </w:t>
      </w:r>
      <w:r>
        <w:rPr>
          <w:b/>
          <w:bCs/>
        </w:rPr>
        <w:t xml:space="preserve">Decreto nº 5.296, de 2 de dezembro de 2004</w:t>
      </w:r>
      <w:r>
        <w:t xml:space="preserve">. Regulamenta as Leis nº 10.048, de 8 de novembro de 2000, e nº 10.098, de 19 de dezembro de 2000.</w:t>
      </w:r>
      <w:r>
        <w:t xml:space="preserve"> </w:t>
      </w:r>
      <w:r>
        <w:rPr>
          <w:b/>
          <w:bCs/>
        </w:rPr>
        <w:t xml:space="preserve">Diário Oficial da União</w:t>
      </w:r>
      <w:r>
        <w:t xml:space="preserve">: seção 1, Brasília, DF, 3 dez. 2004.</w:t>
      </w:r>
    </w:p>
    <w:p>
      <w:pPr>
        <w:pStyle w:val="BodyText"/>
      </w:pPr>
      <w:r>
        <w:t xml:space="preserve">BRASIL.</w:t>
      </w:r>
      <w:r>
        <w:t xml:space="preserve"> </w:t>
      </w:r>
      <w:r>
        <w:rPr>
          <w:b/>
          <w:bCs/>
        </w:rPr>
        <w:t xml:space="preserve">Lei nº 12.527, de 18 de novembro de 2011</w:t>
      </w:r>
      <w:r>
        <w:t xml:space="preserve">. Regula o acesso a informações previsto no inciso XXXIII do art. 5º, no inciso II do § 3º do art. 37 e no § 2º do art. 216 da Constituição Federal.</w:t>
      </w:r>
      <w:r>
        <w:t xml:space="preserve"> </w:t>
      </w:r>
      <w:r>
        <w:rPr>
          <w:b/>
          <w:bCs/>
        </w:rPr>
        <w:t xml:space="preserve">Diário Oficial da União</w:t>
      </w:r>
      <w:r>
        <w:t xml:space="preserve">: seção 1, edição extra, Brasília, DF, 18 nov. 2011.</w:t>
      </w:r>
    </w:p>
    <w:p>
      <w:pPr>
        <w:pStyle w:val="BodyText"/>
      </w:pPr>
      <w:r>
        <w:t xml:space="preserve">BRASIL. Ministério do Planejamento, Orçamento e Gestão.</w:t>
      </w:r>
      <w:r>
        <w:t xml:space="preserve"> </w:t>
      </w:r>
      <w:r>
        <w:rPr>
          <w:b/>
          <w:bCs/>
        </w:rPr>
        <w:t xml:space="preserve">eMAG</w:t>
      </w:r>
      <w:r>
        <w:t xml:space="preserve">: Modelo de Acessibilidade em Governo Eletrônico. Versão 3.1. Brasília, DF: MPOG, 2014a. Disponível em: https://emag.governoeletronico.gov.br/. Acesso em: 16 ago. 2026.</w:t>
      </w:r>
    </w:p>
    <w:p>
      <w:pPr>
        <w:pStyle w:val="BodyText"/>
      </w:pPr>
      <w:r>
        <w:t xml:space="preserve">BRASIL.</w:t>
      </w:r>
      <w:r>
        <w:t xml:space="preserve"> </w:t>
      </w:r>
      <w:r>
        <w:rPr>
          <w:b/>
          <w:bCs/>
        </w:rPr>
        <w:t xml:space="preserve">Lei nº 13.146, de 6 de julho de 2015</w:t>
      </w:r>
      <w:r>
        <w:t xml:space="preserve">. Institui a Lei Brasileira de Inclusão da Pessoa com Deficiência (Estatuto da Pessoa com Deficiência).</w:t>
      </w:r>
      <w:r>
        <w:t xml:space="preserve"> </w:t>
      </w:r>
      <w:r>
        <w:rPr>
          <w:b/>
          <w:bCs/>
        </w:rPr>
        <w:t xml:space="preserve">Diário Oficial da União</w:t>
      </w:r>
      <w:r>
        <w:t xml:space="preserve">: seção 1, Brasília, DF, 7 jul. 2015.</w:t>
      </w:r>
    </w:p>
    <w:p>
      <w:pPr>
        <w:pStyle w:val="BodyText"/>
      </w:pPr>
      <w:r>
        <w:t xml:space="preserve">BRASIL.</w:t>
      </w:r>
      <w:r>
        <w:t xml:space="preserve"> </w:t>
      </w:r>
      <w:r>
        <w:rPr>
          <w:b/>
          <w:bCs/>
        </w:rPr>
        <w:t xml:space="preserve">Lei nº 14.129, de 29 de março de 2021</w:t>
      </w:r>
      <w:r>
        <w:t xml:space="preserve">. Dispõe sobre princípios, regras e instrumentos para o Governo Digital e para o aumento da eficiência pública.</w:t>
      </w:r>
      <w:r>
        <w:t xml:space="preserve"> </w:t>
      </w:r>
      <w:r>
        <w:rPr>
          <w:b/>
          <w:bCs/>
        </w:rPr>
        <w:t xml:space="preserve">Diário Oficial da União</w:t>
      </w:r>
      <w:r>
        <w:t xml:space="preserve">: seção 1, Brasília, DF, 30 mar. 2021.</w:t>
      </w:r>
    </w:p>
    <w:p>
      <w:pPr>
        <w:pStyle w:val="BodyText"/>
      </w:pPr>
      <w:r>
        <w:t xml:space="preserve">CGI.BR — COMITÊ GESTOR DA INTERNET NO BRASIL.</w:t>
      </w:r>
      <w:r>
        <w:t xml:space="preserve"> </w:t>
      </w:r>
      <w:r>
        <w:rPr>
          <w:b/>
          <w:bCs/>
        </w:rPr>
        <w:t xml:space="preserve">Pesquisa sobre o uso das tecnologias de informação e comunicação nos domicílios brasileiros</w:t>
      </w:r>
      <w:r>
        <w:t xml:space="preserve">: TIC Domicílios 2024. São Paulo: CGI.br; NIC.br; Cetic.br, 2025. Disponível em: https://cetic.br/pt/pesquisa/domicilios/. Acesso em: 16 ago. 2026.</w:t>
      </w:r>
    </w:p>
    <w:p>
      <w:pPr>
        <w:pStyle w:val="BodyText"/>
      </w:pPr>
      <w:r>
        <w:t xml:space="preserve">FREIRE, André Pimenta; CASTRO, Mário de; FORTES, Renata Pontin de Mattos. Acessibilidade dos sítios web dos governos estaduais brasileiros: uma análise quantitativa entre 1996 e 2007.</w:t>
      </w:r>
      <w:r>
        <w:t xml:space="preserve"> </w:t>
      </w:r>
      <w:r>
        <w:rPr>
          <w:b/>
          <w:bCs/>
        </w:rPr>
        <w:t xml:space="preserve">Revista de Administração Pública</w:t>
      </w:r>
      <w:r>
        <w:t xml:space="preserve">, Rio de Janeiro, v. 43, n. 2, p. 395-414, 2009. DOI: https://doi.org/10.1590/S0034-76122009000200006.</w:t>
      </w:r>
    </w:p>
    <w:p>
      <w:pPr>
        <w:pStyle w:val="BodyText"/>
      </w:pPr>
      <w:r>
        <w:t xml:space="preserve">IBGE — INSTITUTO BRASILEIRO DE GEOGRAFIA E ESTATÍSTICA.</w:t>
      </w:r>
      <w:r>
        <w:t xml:space="preserve"> </w:t>
      </w:r>
      <w:r>
        <w:rPr>
          <w:b/>
          <w:bCs/>
        </w:rPr>
        <w:t xml:space="preserve">Censo demográfico 2022</w:t>
      </w:r>
      <w:r>
        <w:t xml:space="preserve">: pessoas com deficiência — resultados preliminares da amostra. Rio de Janeiro: IBGE, 2025. Disponível em: https://www.ibge.gov.br/. Acesso em: 16 ago. 2026.</w:t>
      </w:r>
    </w:p>
    <w:p>
      <w:pPr>
        <w:pStyle w:val="BodyText"/>
      </w:pPr>
      <w:r>
        <w:t xml:space="preserve">MORAES, Ilara Hämmerli Sozzi de; GONZÁLEZ DE GÓMEZ, Maria Nélida. Informação e informática em saúde: caleidoscópio contemporâneo da saúde.</w:t>
      </w:r>
      <w:r>
        <w:t xml:space="preserve"> </w:t>
      </w:r>
      <w:r>
        <w:rPr>
          <w:b/>
          <w:bCs/>
        </w:rPr>
        <w:t xml:space="preserve">Ciência &amp; Saúde Coletiva</w:t>
      </w:r>
      <w:r>
        <w:t xml:space="preserve">, Rio de Janeiro, v. 12, n. 3, p. 553-565, 2007. DOI: https://doi.org/10.1590/S1413-81232007000300002.</w:t>
      </w:r>
    </w:p>
    <w:p>
      <w:pPr>
        <w:pStyle w:val="BodyText"/>
      </w:pPr>
      <w:r>
        <w:t xml:space="preserve">POWER, Christopher; FREIRE, André; PETRIE, Helen; SWALLOW, David. Guidelines are only half of the story: accessibility problems encountered by blind users on the web. In: SIGCHI CONFERENCE ON HUMAN FACTORS IN COMPUTING SYSTEMS, 2012, Austin.</w:t>
      </w:r>
      <w:r>
        <w:t xml:space="preserve"> </w:t>
      </w:r>
      <w:r>
        <w:rPr>
          <w:b/>
          <w:bCs/>
        </w:rPr>
        <w:t xml:space="preserve">Proceedings</w:t>
      </w:r>
      <w:r>
        <w:t xml:space="preserve"> </w:t>
      </w:r>
      <w:r>
        <w:t xml:space="preserve">[…]. New York: ACM, 2012. p. 433-442.</w:t>
      </w:r>
    </w:p>
    <w:p>
      <w:pPr>
        <w:pStyle w:val="BodyText"/>
      </w:pPr>
      <w:r>
        <w:t xml:space="preserve">SILVA, Rosane Leal da; LA RUE, Letícia Almeida de. A acessibilidade nos sites do Poder Executivo estadual à luz dos direitos fundamentais das pessoas com deficiência.</w:t>
      </w:r>
      <w:r>
        <w:t xml:space="preserve"> </w:t>
      </w:r>
      <w:r>
        <w:rPr>
          <w:b/>
          <w:bCs/>
        </w:rPr>
        <w:t xml:space="preserve">Revista de Administração Pública</w:t>
      </w:r>
      <w:r>
        <w:t xml:space="preserve">, Rio de Janeiro, v. 49, n. 2, p. 315-339, 2015. DOI: https://doi.org/10.1590/0034-7612130130.</w:t>
      </w:r>
    </w:p>
    <w:p>
      <w:pPr>
        <w:pStyle w:val="BodyText"/>
      </w:pPr>
      <w:r>
        <w:t xml:space="preserve">SIMÃO, João Batista; RODRIGUES, Georgete. Acessibilidade às informações públicas: uma avaliação do portal de serviços e informações do governo federal.</w:t>
      </w:r>
      <w:r>
        <w:t xml:space="preserve"> </w:t>
      </w:r>
      <w:r>
        <w:rPr>
          <w:b/>
          <w:bCs/>
        </w:rPr>
        <w:t xml:space="preserve">Ciência da Informação</w:t>
      </w:r>
      <w:r>
        <w:t xml:space="preserve">, Brasília, DF, v. 34, n. 2, p. 234-245, 2005. DOI: https://doi.org/10.1590/S0100-19652005000200009.</w:t>
      </w:r>
    </w:p>
    <w:p>
      <w:pPr>
        <w:pStyle w:val="BodyText"/>
      </w:pPr>
      <w:r>
        <w:t xml:space="preserve">TORRES, Elisabeth Fátima; MAZZONI, Alberto Angel; ALVES, João Bosco da Mota. A acessibilidade à informação no espaço digital.</w:t>
      </w:r>
      <w:r>
        <w:t xml:space="preserve"> </w:t>
      </w:r>
      <w:r>
        <w:rPr>
          <w:b/>
          <w:bCs/>
        </w:rPr>
        <w:t xml:space="preserve">Ciência da Informação</w:t>
      </w:r>
      <w:r>
        <w:t xml:space="preserve">, Brasília, DF, v. 31, n. 3, p. 83-91, 2002. DOI: https://doi.org/10.1590/S0100-19652002000300009.</w:t>
      </w:r>
    </w:p>
    <w:p>
      <w:pPr>
        <w:pStyle w:val="BodyText"/>
      </w:pPr>
      <w:r>
        <w:t xml:space="preserve">VIEIRA, Camila Mugnai; CANIATO, Daniela Godoi; YONEMOTU, Bruna Prado Ribeiro. Comunicação e acessibilidade: percepções de pessoas com deficiência auditiva sobre seu atendimento nos serviços de saúde.</w:t>
      </w:r>
      <w:r>
        <w:t xml:space="preserve"> </w:t>
      </w:r>
      <w:r>
        <w:rPr>
          <w:b/>
          <w:bCs/>
        </w:rPr>
        <w:t xml:space="preserve">Reciis – Revista Eletrônica de Comunicação, Informação e Inovação em Saúde</w:t>
      </w:r>
      <w:r>
        <w:t xml:space="preserve">, Rio de Janeiro, v. 11, n. 2, 2017. DOI: https://doi.org/10.29397/reciis.v11i2.1139.</w:t>
      </w:r>
    </w:p>
    <w:p>
      <w:pPr>
        <w:pStyle w:val="BodyText"/>
      </w:pPr>
      <w:r>
        <w:t xml:space="preserve">VIGO, Markel; BROWN, Justin; CONWAY, Vivienne. Benchmarking web accessibility evaluation tools: measuring the harm of sole reliance on automated tests. In: INTERNATIONAL CROSS-DISCIPLINARY CONFERENCE ON WEB ACCESSIBILITY, 10., 2013, Rio de Janeiro.</w:t>
      </w:r>
      <w:r>
        <w:t xml:space="preserve"> </w:t>
      </w:r>
      <w:r>
        <w:rPr>
          <w:b/>
          <w:bCs/>
        </w:rPr>
        <w:t xml:space="preserve">Proceedings</w:t>
      </w:r>
      <w:r>
        <w:t xml:space="preserve"> </w:t>
      </w:r>
      <w:r>
        <w:t xml:space="preserve">[…]. New York: ACM, 2013. DOI: https://doi.org/10.1145/2461121.2461124.</w:t>
      </w:r>
    </w:p>
    <w:p>
      <w:pPr>
        <w:pStyle w:val="BodyText"/>
      </w:pPr>
      <w:r>
        <w:t xml:space="preserve">W3C — WORLD WIDE WEB CONSORTIUM.</w:t>
      </w:r>
      <w:r>
        <w:t xml:space="preserve"> </w:t>
      </w:r>
      <w:r>
        <w:rPr>
          <w:b/>
          <w:bCs/>
        </w:rPr>
        <w:t xml:space="preserve">Web Content Accessibility Guidelines (WCAG) 2.1</w:t>
      </w:r>
      <w:r>
        <w:t xml:space="preserve">. W3C Recommendation, 5 jun. 2018. Disponível em: https://www.w3.org/TR/WCAG21/. Acesso em: 16 ago. 2026.</w:t>
      </w:r>
    </w:p>
    <w:bookmarkEnd w:id="16"/>
    <w:sectPr>
      <w:headerReference r:id="R780eec7d02cc4144" w:type="default"/>
      <w:footerReference r:id="Rab0345adef294de1" w:type="default"/>
      <w:pgSz w:h="16838" w:w="11906"/>
      <w:pgMar w:bottom="1440" w:footer="720" w:header="720" w:left="1440" w:right="1440" w:top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color w:val="8A9484"/>
        <w:sz w:val="18"/>
      </w:rPr>
      <w:fldChar w:fldCharType="begin"/>
    </w:r>
    <w:r>
      <w:rPr>
        <w:color w:val="8A9484"/>
        <w:sz w:val="18"/>
      </w:rPr>
      <w:instrText xml:space="preserve"> PAGE </w:instrText>
    </w:r>
    <w:r>
      <w:rPr>
        <w:color w:val="8A9484"/>
        <w:sz w:val="18"/>
      </w:rPr>
      <w:fldChar w:fldCharType="separate"/>
    </w:r>
    <w:r>
      <w:rPr>
        <w:color w:val="8A9484"/>
        <w:sz w:val="18"/>
      </w:rPr>
      <w:t>1</w:t>
    </w:r>
    <w:r>
      <w:rPr>
        <w:color w:val="8A9484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rPr>
        <w:color w:val="8A9484"/>
        <w:sz w:val="18"/>
      </w:rPr>
      <w:t>Entrega de 09 a 11/09/2026: grupo, revista escolhida e introdução do artigo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hanging="360" w:left="567"/>
      </w:pPr>
      <w:rPr>
        <w:rFonts w:ascii="Symbol" w:hAnsi="Symbol"/>
      </w:rPr>
    </w:lvl>
  </w:abstractNum>
  <w:abstractNum w:abstractNumId="2">
    <w:lvl w:ilvl="0">
      <w:numFmt w:val="decimal"/>
      <w:lvlText w:val="%1."/>
      <w:lvlJc w:val="left"/>
      <w:pPr>
        <w:ind w:hanging="360" w:left="567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style w:default="true" w:styleId="Normal" w:type="paragraph">
    <w:name w:val="Normal"/>
    <w:pPr>
      <w:spacing w:after="200" w:line="312" w:lineRule="auto"/>
      <w:jc w:val="both"/>
    </w:pPr>
    <w:rPr>
      <w:rFonts w:ascii="Calibri" w:hAnsi="Calibri"/>
      <w:color w:val="2E352E"/>
      <w:sz w:val="21"/>
    </w:rPr>
  </w:style>
  <w:style w:styleId="Heading1" w:type="paragraph">
    <w:name w:val="heading 1"/>
    <w:basedOn w:val="Normal"/>
    <w:pPr>
      <w:keepNext/>
      <w:keepLines/>
      <w:spacing w:after="200" w:before="480"/>
      <w:jc w:val="left"/>
      <w:outlineLvl w:val="0"/>
    </w:pPr>
    <w:rPr>
      <w:rFonts w:ascii="Calibri" w:hAnsi="Calibri"/>
      <w:b/>
      <w:color w:val="4A6741"/>
      <w:sz w:val="30"/>
    </w:rPr>
  </w:style>
  <w:style w:styleId="Heading2" w:type="paragraph">
    <w:name w:val="heading 2"/>
    <w:basedOn w:val="Normal"/>
    <w:pPr>
      <w:keepNext/>
      <w:keepLines/>
      <w:spacing w:after="140" w:before="320"/>
      <w:jc w:val="left"/>
      <w:outlineLvl w:val="1"/>
    </w:pPr>
    <w:rPr>
      <w:rFonts w:ascii="Calibri" w:hAnsi="Calibri"/>
      <w:b/>
      <w:color w:val="2E352E"/>
      <w:sz w:val="24"/>
    </w:rPr>
  </w:style>
  <w:style w:styleId="Title" w:type="paragraph">
    <w:name w:val="Title"/>
    <w:basedOn w:val="Normal"/>
    <w:next w:val="Normal"/>
    <w:pPr>
      <w:spacing w:after="120" w:before="0"/>
      <w:jc w:val="left"/>
    </w:pPr>
    <w:rPr>
      <w:b/>
      <w:color w:val="4A6741"/>
      <w:sz w:val="40"/>
    </w:rPr>
  </w:style>
  <w:style w:styleId="Subtitle" w:type="paragraph">
    <w:name w:val="Subtitle"/>
    <w:basedOn w:val="Normal"/>
    <w:next w:val="Normal"/>
    <w:pPr>
      <w:spacing w:after="480" w:before="0"/>
      <w:jc w:val="left"/>
    </w:pPr>
    <w:rPr>
      <w:color w:val="55604F"/>
      <w:sz w:val="22"/>
    </w:rPr>
  </w:style>
  <w:style w:styleId="Heading3" w:type="paragraph">
    <w:name w:val="heading 3"/>
    <w:basedOn w:val="Heading2"/>
    <w:pPr>
      <w:spacing w:after="100" w:before="240"/>
      <w:outlineLvl w:val="2"/>
    </w:pPr>
    <w:rPr>
      <w:sz w:val="22"/>
    </w:rPr>
  </w:style>
  <w:style w:styleId="BodyText" w:type="paragraph">
    <w:name w:val="Body Text"/>
    <w:basedOn w:val="Normal"/>
  </w:style>
  <w:style w:styleId="FirstParagraph" w:type="paragraph">
    <w:name w:val="First Paragraph"/>
    <w:basedOn w:val="Normal"/>
  </w:style>
  <w:style w:styleId="Compact" w:type="paragraph">
    <w:name w:val="Compact"/>
    <w:basedOn w:val="Normal"/>
    <w:pPr>
      <w:spacing w:after="60" w:before="60" w:line="276" w:lineRule="auto"/>
      <w:jc w:val="left"/>
    </w:pPr>
    <w:rPr>
      <w:sz w:val="20"/>
    </w:rPr>
  </w:style>
  <w:style w:styleId="TableCaption" w:type="paragraph">
    <w:name w:val="Table Caption"/>
    <w:basedOn w:val="Normal"/>
    <w:pPr>
      <w:keepNext/>
      <w:spacing w:after="60" w:before="120"/>
    </w:pPr>
    <w:rPr>
      <w:i/>
      <w:sz w:val="20"/>
    </w:rPr>
  </w:style>
  <w:style w:styleId="SourceCode" w:type="paragraph">
    <w:name w:val="Source Code"/>
    <w:basedOn w:val="Normal"/>
    <w:pPr>
      <w:spacing w:after="60" w:before="60" w:line="240" w:lineRule="auto"/>
      <w:jc w:val="left"/>
      <w:shd w:fill="EFF4ED" w:val="clear"/>
    </w:pPr>
    <w:rPr>
      <w:rFonts w:ascii="Consolas" w:hAnsi="Consolas"/>
      <w:sz w:val="18"/>
    </w:rPr>
  </w:style>
  <w:style w:styleId="VerbatimChar" w:type="character">
    <w:name w:val="Verbatim Char"/>
    <w:rPr>
      <w:rFonts w:ascii="Consolas" w:hAnsi="Consolas"/>
      <w:sz w:val="19"/>
    </w:rPr>
  </w:style>
  <w:style w:styleId="Table" w:type="table">
    <w:name w:val="Table"/>
    <w:tblPr>
      <w:tblW w:type="pct" w:w="5000"/>
      <w:tblBorders>
        <w:top w:color="4A6741" w:sz="12" w:val="single"/>
        <w:bottom w:color="4A6741" w:sz="12" w:val="single"/>
        <w:insideH w:color="D8E0D4" w:sz="4" w:val="single"/>
      </w:tblBorders>
      <w:tblCellMar>
        <w:left w:type="dxa" w:w="100"/>
        <w:right w:type="dxa" w:w="100"/>
      </w:tblCellMar>
    </w:tbl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780eec7d02cc4144" Target="header1.xml" Type="http://schemas.openxmlformats.org/officeDocument/2006/relationships/header" /><Relationship Id="Rab0345adef294de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de 09 a 11/09/2026: grupo, revista escolhida e introdução do artigo</dc:title>
  <dc:creator/>
  <cp:keywords/>
  <dcterms:created xsi:type="dcterms:W3CDTF">2026-09-15T15:26:49Z</dcterms:created>
  <dcterms:modified xsi:type="dcterms:W3CDTF">2026-09-15T15:26:49Z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Identificação do grupo, revista escolhida e introdução do artigo científico, conforme a atividade proposta na disciplina 5-PJS 2026.2_Noturno (professor Ricardo Marciano)</vt:lpwstr>
  </property>
</Properties>
</file>