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Mapeamento do MVP: AcessiSaúde-Audit</w:t>
      </w:r>
    </w:p>
    <w:p>
      <w:pPr>
        <w:pStyle w:val="Subtitle"/>
      </w:pPr>
      <w:r>
        <w:t xml:space="preserve">Escopo essencial, arquitetura tecnológica e plano de entregas da ferramenta computacional de auditoria contínua de acessibilidade web (WCAG 2.1 / LBI) para plataformas públicas de saúde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Disciplina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5-PJS 2026.2_Noturno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Professor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Ricardo Marciano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Grupo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Thalles Ferreira Costa (thalles.costa@ioc.fiocruz.br); Bruno de Araujo de Jesus; Jonathas Batista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Tema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Tema 6 — Avaliador Automático de Acessibilidade e Direitos Digitais em Saúde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Artigo associado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Acessibilidade digital em plataformas públicas de saúde no Rio de Janeiro: auditoria automatizada contínua e qualificação jurídica das barreiras (submissão à Reciis)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Versão do documento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1.0, de 15/09/2026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Prazo da entrega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20/10/2026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Repositório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AGPL-3.0; endereço público informado após a avaliação duplo-cega do artigo</w:t>
            </w:r>
          </w:p>
        </w:tc>
      </w:tr>
    </w:tbl>
    <w:bookmarkStart w:id="13" w:name="visão-do-produto"/>
    <w:p>
      <w:pPr>
        <w:pStyle w:val="Heading1"/>
      </w:pPr>
      <w:r>
        <w:t xml:space="preserve">1. Visão do produto</w:t>
      </w:r>
    </w:p>
    <w:bookmarkStart w:id="9" w:name="o-problema"/>
    <w:p>
      <w:pPr>
        <w:pStyle w:val="Heading2"/>
      </w:pPr>
      <w:r>
        <w:t xml:space="preserve">1.1 O problema</w:t>
      </w:r>
    </w:p>
    <w:p>
      <w:pPr>
        <w:pStyle w:val="FirstParagraph"/>
      </w:pPr>
      <w:r>
        <w:t xml:space="preserve">Quando um serviço público de saúde migra para o meio digital, a acessibilidade da interface deixa de ser questão de usabilidade e passa a ser condição de exercício de um direito. O art. 63 da Lei Brasileira de Inclusão (Lei 13.146/2015) obriga os órgãos de governo a manter sítios acessíveis</w:t>
      </w:r>
      <w:r>
        <w:t xml:space="preserve"> </w:t>
      </w:r>
      <w:r>
        <w:t xml:space="preserve">“conforme as melhores práticas e diretrizes de acessibilidade adotadas internacionalmente”</w:t>
      </w:r>
      <w:r>
        <w:t xml:space="preserve">, e a Lei 14.129/2021 inclui a acessibilidade entre os princípios do governo digital. A norma existe há dez anos e a literatura brasileira mostra, desde 2005, que sua existência não produziu, por si, efeito mensurável.</w:t>
      </w:r>
    </w:p>
    <w:p>
      <w:pPr>
        <w:pStyle w:val="BodyText"/>
      </w:pPr>
      <w:r>
        <w:t xml:space="preserve">Ferramentas automáticas de avaliação de acessibilidade existem e são boas no que fazem. Nenhuma delas responde às três perguntas que interessam a quem discute política pública de saúde: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Qual norma foi violada e quem é o sujeito obrigado?</w:t>
      </w:r>
      <w:r>
        <w:t xml:space="preserve"> </w:t>
      </w:r>
      <w:r>
        <w:t xml:space="preserve">Um relatório que diz</w:t>
      </w:r>
      <w:r>
        <w:t xml:space="preserve"> </w:t>
      </w:r>
      <w:r>
        <w:t xml:space="preserve">“contraste 2,9:1”</w:t>
      </w:r>
      <w:r>
        <w:t xml:space="preserve"> </w:t>
      </w:r>
      <w:r>
        <w:t xml:space="preserve">não move um gestor. Um que diz</w:t>
      </w:r>
      <w:r>
        <w:t xml:space="preserve"> </w:t>
      </w:r>
      <w:r>
        <w:t xml:space="preserve">“violação do art. 63, caput, da LBI, exigível por ação civil pública”</w:t>
      </w:r>
      <w:r>
        <w:t xml:space="preserve"> </w:t>
      </w:r>
      <w:r>
        <w:t xml:space="preserve">move.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Quem exatamente fica de fora?</w:t>
      </w:r>
      <w:r>
        <w:t xml:space="preserve"> </w:t>
      </w:r>
      <w:r>
        <w:t xml:space="preserve">A contagem de defeitos mede o trabalho do desenvolvedor; o dano juridicamente relevante é o da pessoa excluída.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Quanto custa chegar até aqui?</w:t>
      </w:r>
      <w:r>
        <w:t xml:space="preserve"> </w:t>
      </w:r>
      <w:r>
        <w:t xml:space="preserve">Para o usuário periférico, com plano pré-pago, aparelho de entrada e rede instável, o peso da página em bytes é barreira que as diretrizes não enxergam.</w:t>
      </w:r>
    </w:p>
    <w:bookmarkEnd w:id="9"/>
    <w:bookmarkStart w:id="10" w:name="a-solução"/>
    <w:p>
      <w:pPr>
        <w:pStyle w:val="Heading2"/>
      </w:pPr>
      <w:r>
        <w:t xml:space="preserve">1.2 A solução</w:t>
      </w:r>
    </w:p>
    <w:p>
      <w:pPr>
        <w:pStyle w:val="FirstParagraph"/>
      </w:pPr>
      <w:r>
        <w:t xml:space="preserve">O AcessiSaúde-Audit é uma aplicação que realiza varreduras automáticas em portais públicos de saúde, avalia a conformidade com as diretrizes WCAG 2.1 (níveis A e AA) e com a Lei Brasileira de Inclusão, e produz, a partir do mesmo dado e com procedência auditável, três camadas por achado: a</w:t>
      </w:r>
      <w:r>
        <w:t xml:space="preserve"> </w:t>
      </w:r>
      <w:r>
        <w:rPr>
          <w:b/>
          <w:bCs/>
        </w:rPr>
        <w:t xml:space="preserve">técnica</w:t>
      </w:r>
      <w:r>
        <w:t xml:space="preserve"> </w:t>
      </w:r>
      <w:r>
        <w:t xml:space="preserve">(regra, gravidade, seletor, valores medidos), a</w:t>
      </w:r>
      <w:r>
        <w:t xml:space="preserve"> </w:t>
      </w:r>
      <w:r>
        <w:rPr>
          <w:b/>
          <w:bCs/>
        </w:rPr>
        <w:t xml:space="preserve">normativa</w:t>
      </w:r>
      <w:r>
        <w:t xml:space="preserve"> </w:t>
      </w:r>
      <w:r>
        <w:t xml:space="preserve">(critério WCAG violado) e a</w:t>
      </w:r>
      <w:r>
        <w:t xml:space="preserve"> </w:t>
      </w:r>
      <w:r>
        <w:rPr>
          <w:b/>
          <w:bCs/>
        </w:rPr>
        <w:t xml:space="preserve">jurídica</w:t>
      </w:r>
      <w:r>
        <w:t xml:space="preserve"> </w:t>
      </w:r>
      <w:r>
        <w:t xml:space="preserve">(dispositivo invocável, sujeito obrigado, via de exigibilidade). Complementa a auditoria com a medição do custo de acesso em dados móveis e com um perfil de exclusão por grupo afetado, e repete a varredura diariamente, porque a barreira de hoje pode não ser a de amanhã.</w:t>
      </w:r>
    </w:p>
    <w:bookmarkEnd w:id="10"/>
    <w:bookmarkStart w:id="11" w:name="usuários-e-valor-entregue"/>
    <w:p>
      <w:pPr>
        <w:pStyle w:val="Heading2"/>
      </w:pPr>
      <w:r>
        <w:t xml:space="preserve">1.3 Usuários e valor entregue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Usuário</w:t>
            </w:r>
          </w:p>
        </w:tc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O que recebe do MVP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Pesquisador (autor do artigo)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Dataset primário reexecutável (JSON), índices calibrados, série temporal e figuras do artigo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Gestor público de saúde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Relatório HTML autocontido e acessível, com a conduta corretiva de cada achado em linguagem de gestor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Órgão de controle (Ministério Público, Defensoria, Controladoria)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Qualificação jurídica de cada barreira: dispositivo, tese, sujeito obrigado e via de exigibilidade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Equipe de desenvolvimento do portal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Achado técnico com seletor CSS, valores medidos e regra do axe-core, reproduzível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Sociedade civil e imprensa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Painel público com índices por plataforma e por esfera federativa, com cobertura declarada</w:t>
            </w:r>
          </w:p>
        </w:tc>
      </w:tr>
    </w:tbl>
    <w:bookmarkEnd w:id="11"/>
    <w:bookmarkStart w:id="12" w:name="princípios-que-definem-o-produto"/>
    <w:p>
      <w:pPr>
        <w:pStyle w:val="Heading2"/>
      </w:pPr>
      <w:r>
        <w:t xml:space="preserve">1.4 Princípios que definem o produto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Ausência de achado não é conformidade.</w:t>
      </w:r>
      <w:r>
        <w:t xml:space="preserve"> </w:t>
      </w:r>
      <w:r>
        <w:t xml:space="preserve">Dos 50 critérios modelados, 27 admitem veredito automático, e só para alguns modos de falha. O instrumento estabelece um piso de não conformidade, nunca um atestado.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Violação e indício não se confundem.</w:t>
      </w:r>
      <w:r>
        <w:t xml:space="preserve"> </w:t>
      </w:r>
      <w:r>
        <w:t xml:space="preserve">Vereditos indeterminados jamais viram violação, e sondas heurísticas são impedidas por contrato, verificado em teste, de reprovar.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Nenhum número circula sem seus parâmetros.</w:t>
      </w:r>
      <w:r>
        <w:t xml:space="preserve"> </w:t>
      </w:r>
      <w:r>
        <w:t xml:space="preserve">Todo índice viaja com as constantes que o produziram; todo achado, com a versão do motor que o detectou.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ferramenta obedece às regras que aplica.</w:t>
      </w:r>
      <w:r>
        <w:t xml:space="preserve"> </w:t>
      </w:r>
      <w:r>
        <w:t xml:space="preserve">O painel e o relatório são auditados pelo mesmo motor, e a construção falha diante de qualquer violação de nível A ou AA.</w:t>
      </w:r>
    </w:p>
    <w:bookmarkEnd w:id="12"/>
    <w:bookmarkEnd w:id="13"/>
    <w:bookmarkStart w:id="18" w:name="escopo-essencial-do-mvp"/>
    <w:p>
      <w:pPr>
        <w:pStyle w:val="Heading1"/>
      </w:pPr>
      <w:r>
        <w:t xml:space="preserve">2. Escopo essencial do MVP</w:t>
      </w:r>
    </w:p>
    <w:bookmarkStart w:id="14" w:name="objetivo-do-mvp"/>
    <w:p>
      <w:pPr>
        <w:pStyle w:val="Heading2"/>
      </w:pPr>
      <w:r>
        <w:t xml:space="preserve">2.1 Objetivo do MVP</w:t>
      </w:r>
    </w:p>
    <w:p>
      <w:pPr>
        <w:pStyle w:val="FirstParagraph"/>
      </w:pPr>
      <w:r>
        <w:t xml:space="preserve">Entregar, até 20/10/2026, um instrumento funcional, aferido e documentado que (a) audite plataformas públicas de saúde contra a WCAG 2.1 A/AA, (b) qualifique juridicamente cada achado pela matriz WCAG↔LBI, (c) produza índices com cobertura declarada, (d) opere em série diária sem intervenção manual e (e) sustente os resultados do artigo científico submetido à Reciis.</w:t>
      </w:r>
    </w:p>
    <w:bookmarkEnd w:id="14"/>
    <w:bookmarkStart w:id="15" w:name="X351a14501f19bf68acd49f74a335062f367415d"/>
    <w:p>
      <w:pPr>
        <w:pStyle w:val="Heading2"/>
      </w:pPr>
      <w:r>
        <w:t xml:space="preserve">2.2 Funcionalidades essenciais (dentro do escopo)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#</w:t>
            </w:r>
          </w:p>
        </w:tc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Funcionalidade</w:t>
            </w:r>
          </w:p>
        </w:tc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Critério de aceitação</w:t>
            </w:r>
          </w:p>
        </w:tc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Situação em 15/09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F1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Catálogo de alvos com desenho amostral declarado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Cada alvo tem justificativa de inclusão obrigatória; alvos nascem desabilitados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Concluída: 5 plataformas habilitadas em 3 esferas federativas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F2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Varredura com navegador real em dois perfis de dispositivo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Chromium via Playwright, contexto isolado por página, perfis desktop e móvel 320 px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Concluída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F3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Regras determinísticas do axe-core 4.13.0, vendorizado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Injeção em todos os quadros; recorte às tags WCAG 2.x A/AA; falha na injeção nunca vira aprovação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Concluída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F4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Sondas próprias para o que o axe não alcança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16 sondas cobrindo 18 critérios e 2 dimensões sem correspondência WCAG; sondas heurísticas não reprovam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Concluída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F5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Matriz WCAG↔LBI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50 critérios mapeados a 22 dispositivos normativos, com risco jurídico, tese e conduta corretiva; integridade 50/50 verificada em teste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Concluída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F6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Índices com cobertura declarada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ICA, IAN, IEJ, barreira absoluta e custo de acesso; campo</w:t>
            </w:r>
            <w:r>
              <w:rPr>
                <w:color w:val="55604F"/>
                <w:sz w:val="20"/>
              </w:rPr>
              <w:t xml:space="preserve"> </w:t>
            </w:r>
            <w:r>
              <w:rPr>
                <w:color w:val="55604F"/>
                <w:sz w:val="20"/>
                <w:rStyle w:val="VerbatimChar"/>
              </w:rPr>
              <w:t xml:space="preserve">coverage</w:t>
            </w:r>
            <w:r>
              <w:rPr>
                <w:color w:val="55604F"/>
                <w:sz w:val="20"/>
              </w:rPr>
              <w:t xml:space="preserve"> </w:t>
            </w:r>
            <w:r>
              <w:rPr>
                <w:color w:val="55604F"/>
                <w:sz w:val="20"/>
              </w:rPr>
              <w:t xml:space="preserve">em toda saída; índices nulos quando não há observação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Concluída (ADR 0005, 0007, 0010)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F7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Medição do custo de acesso em dados móveis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Bytes efetivamente trafegados por página, com parâmetros de preço e franquia datados e registrados no</w:t>
            </w:r>
            <w:r>
              <w:rPr>
                <w:color w:val="55604F"/>
                <w:sz w:val="20"/>
              </w:rPr>
              <w:t xml:space="preserve"> </w:t>
            </w:r>
            <w:r>
              <w:rPr>
                <w:color w:val="55604F"/>
                <w:sz w:val="20"/>
                <w:rStyle w:val="VerbatimChar"/>
              </w:rPr>
              <w:t xml:space="preserve">config_snapshot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Concluída (ADR 0006)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F8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Persistência com documento JSON como fonte da verdade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JSON íntegro gravado em disco e no banco; índice relacional reconstruível por</w:t>
            </w:r>
            <w:r>
              <w:rPr>
                <w:color w:val="55604F"/>
                <w:sz w:val="20"/>
              </w:rPr>
              <w:t xml:space="preserve"> </w:t>
            </w:r>
            <w:r>
              <w:rPr>
                <w:color w:val="55604F"/>
                <w:sz w:val="20"/>
                <w:rStyle w:val="VerbatimChar"/>
              </w:rPr>
              <w:t xml:space="preserve">reindexar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Concluída (ADR 0003)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F9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Relatório HTML autocontido e acessível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Sem JavaScript nem recursos externos; conforme WCAG 2.1 AA; auditado pelo próprio motor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Concluída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F10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Exportação em CSV formato longo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Achados e páginas exportáveis para pandas ou Excel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Concluída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F11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API REST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Rotas de referência normativa, alvos, varreduras, índices, relatório e CSV; documentação OpenAPI em</w:t>
            </w:r>
            <w:r>
              <w:rPr>
                <w:color w:val="55604F"/>
                <w:sz w:val="20"/>
              </w:rPr>
              <w:t xml:space="preserve"> </w:t>
            </w:r>
            <w:r>
              <w:rPr>
                <w:color w:val="55604F"/>
                <w:sz w:val="20"/>
                <w:rStyle w:val="VerbatimChar"/>
              </w:rPr>
              <w:t xml:space="preserve">/docs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Concluída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F12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Painel web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Visão geral, lista de alvos, detalhe da varredura e referência normativa; consome a matriz pela API em vez de duplicá-la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Concluída; refinamento visual em andamento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F13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Auditoria contínua agendada com portão de aferição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Execução diária; nada toca portal público se o instrumento reprovar no conjunto de validação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Concluída; série de 22 dias (19/08 a 09/09) e em curso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F14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Conjunto de validação sintético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20 barreiras plantadas cobrindo 21 critérios; página de controle conforme sem violação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Concluída: 18 detectadas, 3 fora do alcance automático, declaradas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F15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Conduta ética de coleta implementada como falha, não recomendação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Identificação obrigatória no User-Agent; respeito a</w:t>
            </w:r>
            <w:r>
              <w:rPr>
                <w:color w:val="55604F"/>
                <w:sz w:val="20"/>
              </w:rPr>
              <w:t xml:space="preserve"> </w:t>
            </w:r>
            <w:r>
              <w:rPr>
                <w:color w:val="55604F"/>
                <w:sz w:val="20"/>
                <w:rStyle w:val="VerbatimChar"/>
              </w:rPr>
              <w:t xml:space="preserve">robots.txt</w:t>
            </w:r>
            <w:r>
              <w:rPr>
                <w:color w:val="55604F"/>
                <w:sz w:val="20"/>
              </w:rPr>
              <w:t xml:space="preserve">; intervalo mínimo de 2 s; alvos desabilitados por padrão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Concluída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F16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Instalação em um clique no Windows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  <w:rStyle w:val="VerbatimChar"/>
              </w:rPr>
              <w:t xml:space="preserve">iniciar.bat</w:t>
            </w:r>
            <w:r>
              <w:rPr>
                <w:color w:val="55604F"/>
                <w:sz w:val="20"/>
              </w:rPr>
              <w:t xml:space="preserve"> </w:t>
            </w:r>
            <w:r>
              <w:rPr>
                <w:color w:val="55604F"/>
                <w:sz w:val="20"/>
              </w:rPr>
              <w:t xml:space="preserve">cria o ambiente, instala dependências, roda a primeira auditoria e sobe API e painel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Concluída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F17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Depósito público de código e dados com identificador persistente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Repositório público e DOI dos dados primários e do material suplementar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  <w:b/>
                <w:bCs/>
              </w:rPr>
              <w:t xml:space="preserve">Pendente</w:t>
            </w:r>
            <w:r>
              <w:rPr>
                <w:color w:val="55604F"/>
                <w:sz w:val="20"/>
              </w:rPr>
              <w:t xml:space="preserve">, prevista para a entrega E6</w:t>
            </w:r>
          </w:p>
        </w:tc>
      </w:tr>
    </w:tbl>
    <w:bookmarkEnd w:id="15"/>
    <w:bookmarkStart w:id="16" w:name="fora-do-escopo-do-mvp"/>
    <w:p>
      <w:pPr>
        <w:pStyle w:val="Heading2"/>
      </w:pPr>
      <w:r>
        <w:t xml:space="preserve">2.3 Fora do escopo do MVP</w:t>
      </w:r>
    </w:p>
    <w:p>
      <w:pPr>
        <w:pStyle w:val="FirstParagraph"/>
      </w:pPr>
      <w:r>
        <w:t xml:space="preserve">Declarado para evitar expansão silenciosa:</w:t>
      </w:r>
    </w:p>
    <w:p>
      <w:pPr>
        <w:pStyle w:val="Compact"/>
        <w:numPr>
          <w:ilvl w:val="0"/>
          <w:numId w:val="1003"/>
        </w:numPr>
      </w:pPr>
      <w:r>
        <w:t xml:space="preserve">Critérios de nível AAA da WCAG 2.1 e critérios novos da WCAG 2.2 (ADR 0001).</w:t>
      </w:r>
    </w:p>
    <w:p>
      <w:pPr>
        <w:pStyle w:val="Compact"/>
        <w:numPr>
          <w:ilvl w:val="0"/>
          <w:numId w:val="1003"/>
        </w:numPr>
      </w:pPr>
      <w:r>
        <w:t xml:space="preserve">Avaliação de aplicativos móveis nativos (Android/iOS). O MVP audita a versão web das plataformas.</w:t>
      </w:r>
    </w:p>
    <w:p>
      <w:pPr>
        <w:pStyle w:val="Compact"/>
        <w:numPr>
          <w:ilvl w:val="0"/>
          <w:numId w:val="1003"/>
        </w:numPr>
      </w:pPr>
      <w:r>
        <w:t xml:space="preserve">Áreas autenticadas dos portais. A coleta restringe-se a páginas públicas, sem preenchimento de formulários nem transmissão de dados, o que dispensa submissão ao sistema CEP/Conep.</w:t>
      </w:r>
    </w:p>
    <w:p>
      <w:pPr>
        <w:pStyle w:val="Compact"/>
        <w:numPr>
          <w:ilvl w:val="0"/>
          <w:numId w:val="1003"/>
        </w:numPr>
      </w:pPr>
      <w:r>
        <w:t xml:space="preserve">Teste com usuários reais. O instrumento mede uma parte da norma; a experiência da pessoa com deficiência é objeto de trabalho futuro.</w:t>
      </w:r>
    </w:p>
    <w:p>
      <w:pPr>
        <w:pStyle w:val="Compact"/>
        <w:numPr>
          <w:ilvl w:val="0"/>
          <w:numId w:val="1003"/>
        </w:numPr>
      </w:pPr>
      <w:r>
        <w:t xml:space="preserve">Emissão automática de peças jurídicas (notificações, representações). O MVP fornece a fundamentação; a peça é do operador do direito.</w:t>
      </w:r>
    </w:p>
    <w:p>
      <w:pPr>
        <w:pStyle w:val="Compact"/>
        <w:numPr>
          <w:ilvl w:val="0"/>
          <w:numId w:val="1003"/>
        </w:numPr>
      </w:pPr>
      <w:r>
        <w:t xml:space="preserve">Integração com o eMAG como validador independente. O eMAG é referência normativa, não motor de regras do MVP.</w:t>
      </w:r>
    </w:p>
    <w:p>
      <w:pPr>
        <w:pStyle w:val="Compact"/>
        <w:numPr>
          <w:ilvl w:val="0"/>
          <w:numId w:val="1003"/>
        </w:numPr>
      </w:pPr>
      <w:r>
        <w:t xml:space="preserve">Correção automática das barreiras nos portais auditados.</w:t>
      </w:r>
    </w:p>
    <w:bookmarkEnd w:id="16"/>
    <w:bookmarkStart w:id="17" w:name="requisitos-não-funcionais"/>
    <w:p>
      <w:pPr>
        <w:pStyle w:val="Heading2"/>
      </w:pPr>
      <w:r>
        <w:t xml:space="preserve">2.4 Requisitos não funcionais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Requisito</w:t>
            </w:r>
          </w:p>
        </w:tc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Meta</w:t>
            </w:r>
          </w:p>
        </w:tc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Verificação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Reprodutibilidade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Toda varredura carrega versão do motor, do axe-core e o</w:t>
            </w:r>
            <w:r>
              <w:rPr>
                <w:color w:val="55604F"/>
                <w:sz w:val="20"/>
              </w:rPr>
              <w:t xml:space="preserve"> </w:t>
            </w:r>
            <w:r>
              <w:rPr>
                <w:color w:val="55604F"/>
                <w:sz w:val="20"/>
                <w:rStyle w:val="VerbatimChar"/>
              </w:rPr>
              <w:t xml:space="preserve">config_snapshot</w:t>
            </w:r>
            <w:r>
              <w:rPr>
                <w:color w:val="55604F"/>
                <w:sz w:val="20"/>
              </w:rPr>
              <w:t xml:space="preserve"> </w:t>
            </w:r>
            <w:r>
              <w:rPr>
                <w:color w:val="55604F"/>
                <w:sz w:val="20"/>
              </w:rPr>
              <w:t xml:space="preserve">completo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Teste de persistência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Robustez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Falha em uma página não interrompe a varredura; vira</w:t>
            </w:r>
            <w:r>
              <w:rPr>
                <w:color w:val="55604F"/>
                <w:sz w:val="20"/>
              </w:rPr>
              <w:t xml:space="preserve"> </w:t>
            </w:r>
            <w:r>
              <w:rPr>
                <w:color w:val="55604F"/>
                <w:sz w:val="20"/>
                <w:rStyle w:val="VerbatimChar"/>
              </w:rPr>
              <w:t xml:space="preserve">PageAudit</w:t>
            </w:r>
            <w:r>
              <w:rPr>
                <w:color w:val="55604F"/>
                <w:sz w:val="20"/>
              </w:rPr>
              <w:t xml:space="preserve"> </w:t>
            </w:r>
            <w:r>
              <w:rPr>
                <w:color w:val="55604F"/>
                <w:sz w:val="20"/>
              </w:rPr>
              <w:t xml:space="preserve">com status de erro e entra na taxa de perda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Teste de integração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Acessibilidade do próprio produto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Painel e relatório sem violação A/AA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18 testes de acessibilidade com</w:t>
            </w:r>
            <w:r>
              <w:rPr>
                <w:color w:val="55604F"/>
                <w:sz w:val="20"/>
              </w:rPr>
              <w:t xml:space="preserve"> </w:t>
            </w:r>
            <w:r>
              <w:rPr>
                <w:color w:val="55604F"/>
                <w:sz w:val="20"/>
                <w:rStyle w:val="VerbatimChar"/>
              </w:rPr>
              <w:t xml:space="preserve">@axe-core/playwright</w:t>
            </w:r>
            <w:r>
              <w:rPr>
                <w:color w:val="55604F"/>
                <w:sz w:val="20"/>
              </w:rPr>
              <w:t xml:space="preserve">, na construção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Qualidade de código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Tipagem estrita (mypy strict), lint (ruff), arquitetura verificada por teste estático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115 testes unitários, ~2 s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Conduta de coleta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Cerca de 10 páginas por plataforma por execução; carga inferior à de um rastreador de busca comum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Parâmetros no catálogo e no ambiente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Portabilidade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Windows, Linux e macOS; imagem Docker única para coleta e API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Dockerfile e</w:t>
            </w:r>
            <w:r>
              <w:rPr>
                <w:color w:val="55604F"/>
                <w:sz w:val="20"/>
              </w:rPr>
              <w:t xml:space="preserve"> </w:t>
            </w:r>
            <w:r>
              <w:rPr>
                <w:color w:val="55604F"/>
                <w:sz w:val="20"/>
                <w:rStyle w:val="VerbatimChar"/>
              </w:rPr>
              <w:t xml:space="preserve">iniciar.bat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Licença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AGPL-3.0-or-later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  <w:rStyle w:val="VerbatimChar"/>
              </w:rPr>
              <w:t xml:space="preserve">pyproject.toml</w:t>
            </w:r>
            <w:r>
              <w:rPr>
                <w:color w:val="55604F"/>
                <w:sz w:val="20"/>
              </w:rPr>
              <w:t xml:space="preserve"> </w:t>
            </w:r>
            <w:r>
              <w:rPr>
                <w:color w:val="55604F"/>
                <w:sz w:val="20"/>
              </w:rPr>
              <w:t xml:space="preserve">e</w:t>
            </w:r>
            <w:r>
              <w:rPr>
                <w:color w:val="55604F"/>
                <w:sz w:val="20"/>
              </w:rPr>
              <w:t xml:space="preserve"> </w:t>
            </w:r>
            <w:r>
              <w:rPr>
                <w:color w:val="55604F"/>
                <w:sz w:val="20"/>
                <w:rStyle w:val="VerbatimChar"/>
              </w:rPr>
              <w:t xml:space="preserve">package.json</w:t>
            </w:r>
          </w:p>
        </w:tc>
      </w:tr>
    </w:tbl>
    <w:bookmarkEnd w:id="17"/>
    <w:bookmarkEnd w:id="18"/>
    <w:bookmarkStart w:id="29" w:name="arquitetura-tecnológica"/>
    <w:p>
      <w:pPr>
        <w:pStyle w:val="Heading1"/>
      </w:pPr>
      <w:r>
        <w:t xml:space="preserve">3. Arquitetura tecnológica</w:t>
      </w:r>
    </w:p>
    <w:bookmarkStart w:id="19" w:name="visão-geral"/>
    <w:p>
      <w:pPr>
        <w:pStyle w:val="Heading2"/>
      </w:pPr>
      <w:r>
        <w:t xml:space="preserve">3.1 Visão geral</w:t>
      </w:r>
    </w:p>
    <w:p>
      <w:pPr>
        <w:pStyle w:val="FirstParagraph"/>
      </w:pPr>
      <w:r>
        <w:t xml:space="preserve">O sistema tem quatro blocos: o</w:t>
      </w:r>
      <w:r>
        <w:t xml:space="preserve"> </w:t>
      </w:r>
      <w:r>
        <w:rPr>
          <w:b/>
          <w:bCs/>
        </w:rPr>
        <w:t xml:space="preserve">motor de auditoria</w:t>
      </w:r>
      <w:r>
        <w:t xml:space="preserve"> </w:t>
      </w:r>
      <w:r>
        <w:t xml:space="preserve">(Python, Playwright, axe-core e sondas próprias), o</w:t>
      </w:r>
      <w:r>
        <w:t xml:space="preserve"> </w:t>
      </w:r>
      <w:r>
        <w:rPr>
          <w:b/>
          <w:bCs/>
        </w:rPr>
        <w:t xml:space="preserve">domínio normativo</w:t>
      </w:r>
      <w:r>
        <w:t xml:space="preserve"> </w:t>
      </w:r>
      <w:r>
        <w:t xml:space="preserve">(matriz WCAG↔LBI e índices, em Python puro), a</w:t>
      </w:r>
      <w:r>
        <w:t xml:space="preserve"> </w:t>
      </w:r>
      <w:r>
        <w:rPr>
          <w:b/>
          <w:bCs/>
        </w:rPr>
        <w:t xml:space="preserve">persistência e publicação</w:t>
      </w:r>
      <w:r>
        <w:t xml:space="preserve"> </w:t>
      </w:r>
      <w:r>
        <w:t xml:space="preserve">(JSON, SQLite ou PostgreSQL, relatório HTML, CSV) e a</w:t>
      </w:r>
      <w:r>
        <w:t xml:space="preserve"> </w:t>
      </w:r>
      <w:r>
        <w:rPr>
          <w:b/>
          <w:bCs/>
        </w:rPr>
        <w:t xml:space="preserve">interface</w:t>
      </w:r>
      <w:r>
        <w:t xml:space="preserve"> </w:t>
      </w:r>
      <w:r>
        <w:t xml:space="preserve">(API FastAPI e painel React). A regra única de arquitetura é que</w:t>
      </w:r>
      <w:r>
        <w:t xml:space="preserve"> </w:t>
      </w:r>
      <w:r>
        <w:rPr>
          <w:b/>
          <w:bCs/>
        </w:rPr>
        <w:t xml:space="preserve">as dependências apontam para dentro, em direção ao domínio</w:t>
      </w:r>
      <w:r>
        <w:t xml:space="preserve">, e ela é verificada por análise estática do código-fonte em teste automatizado, não prometida em documento.</w:t>
      </w:r>
    </w:p>
    <w:p>
      <w:pPr>
        <w:pStyle w:val="SourceCode"/>
      </w:pPr>
      <w:r>
        <w:rPr>
          <w:rStyle w:val="VerbatimChar"/>
        </w:rPr>
        <w:t xml:space="preserve">                        ┌──────────────────────────┐</w:t>
      </w:r>
      <w:r>
        <w:br/>
      </w:r>
      <w:r>
        <w:rPr>
          <w:rStyle w:val="VerbatimChar"/>
        </w:rPr>
        <w:t xml:space="preserve">   api ──────────────►  │                          │</w:t>
      </w:r>
      <w:r>
        <w:br/>
      </w:r>
      <w:r>
        <w:rPr>
          <w:rStyle w:val="VerbatimChar"/>
        </w:rPr>
        <w:t xml:space="preserve">   cli ──────────────►  │         domain           │</w:t>
      </w:r>
      <w:r>
        <w:br/>
      </w:r>
      <w:r>
        <w:rPr>
          <w:rStyle w:val="VerbatimChar"/>
        </w:rPr>
        <w:t xml:space="preserve">   auditor ──────────►  │                          │</w:t>
      </w:r>
      <w:r>
        <w:br/>
      </w:r>
      <w:r>
        <w:rPr>
          <w:rStyle w:val="VerbatimChar"/>
        </w:rPr>
        <w:t xml:space="preserve">   persistence ──────►  │  wcag.py    normas       │</w:t>
      </w:r>
      <w:r>
        <w:br/>
      </w:r>
      <w:r>
        <w:rPr>
          <w:rStyle w:val="VerbatimChar"/>
        </w:rPr>
        <w:t xml:space="preserve">   reporting ────────►  │  lbi.py     direito      │</w:t>
      </w:r>
      <w:r>
        <w:br/>
      </w:r>
      <w:r>
        <w:rPr>
          <w:rStyle w:val="VerbatimChar"/>
        </w:rPr>
        <w:t xml:space="preserve">   analysis ─────────►  │  mapping.py matriz       │</w:t>
      </w:r>
      <w:r>
        <w:br/>
      </w:r>
      <w:r>
        <w:rPr>
          <w:rStyle w:val="VerbatimChar"/>
        </w:rPr>
        <w:t xml:space="preserve">                        │  models.py  dados        │</w:t>
      </w:r>
      <w:r>
        <w:br/>
      </w:r>
      <w:r>
        <w:rPr>
          <w:rStyle w:val="VerbatimChar"/>
        </w:rPr>
        <w:t xml:space="preserve">   catalog ──────────►  │  scoring.py índices      │</w:t>
      </w:r>
      <w:r>
        <w:br/>
      </w:r>
      <w:r>
        <w:rPr>
          <w:rStyle w:val="VerbatimChar"/>
        </w:rPr>
        <w:t xml:space="preserve">                        │                          │</w:t>
      </w:r>
      <w:r>
        <w:br/>
      </w:r>
      <w:r>
        <w:rPr>
          <w:rStyle w:val="VerbatimChar"/>
        </w:rPr>
        <w:t xml:space="preserve">                        │  PURO: sem navegador,    │</w:t>
      </w:r>
      <w:r>
        <w:br/>
      </w:r>
      <w:r>
        <w:rPr>
          <w:rStyle w:val="VerbatimChar"/>
        </w:rPr>
        <w:t xml:space="preserve">                        │  banco, HTTP ou pandas   │</w:t>
      </w:r>
      <w:r>
        <w:br/>
      </w:r>
      <w:r>
        <w:rPr>
          <w:rStyle w:val="VerbatimChar"/>
        </w:rPr>
        <w:t xml:space="preserve">                        └──────────────────────────┘</w:t>
      </w:r>
    </w:p>
    <w:p>
      <w:pPr>
        <w:pStyle w:val="FirstParagraph"/>
      </w:pPr>
      <w:r>
        <w:t xml:space="preserve">A pureza do domínio importa porque ele codifica a contribuição científica do projeto: um revisor avalia a matriz sem instalar Chromium, os índices são recalculados sobre dados já coletados sem revarrer portais, e a matriz é citável independentemente da implementação de coleta.</w:t>
      </w:r>
    </w:p>
    <w:bookmarkEnd w:id="19"/>
    <w:bookmarkStart w:id="20" w:name="pilha-tecnológica"/>
    <w:p>
      <w:pPr>
        <w:pStyle w:val="Heading2"/>
      </w:pPr>
      <w:r>
        <w:t xml:space="preserve">3.2 Pilha tecnológica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Camada</w:t>
            </w:r>
          </w:p>
        </w:tc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Tecnologia</w:t>
            </w:r>
          </w:p>
        </w:tc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Versão mínima</w:t>
            </w:r>
          </w:p>
        </w:tc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Papel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Linguagem do backend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Python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3.11 (3.12 na imagem Docker)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Motor, domínio, API, análise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Navegador de coleta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Playwright + Chromium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1.47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DOM renderizado, interação real (Tab), contabilidade de bytes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Regras de acessibilidade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axe-core, vendorizado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4.13.0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Regras determinísticas sobre o DOM (ADR 0002)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Modelagem de dados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Pydantic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2.8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Contratos</w:t>
            </w:r>
            <w:r>
              <w:rPr>
                <w:color w:val="55604F"/>
                <w:sz w:val="20"/>
              </w:rPr>
              <w:t xml:space="preserve"> </w:t>
            </w:r>
            <w:r>
              <w:rPr>
                <w:color w:val="55604F"/>
                <w:sz w:val="20"/>
                <w:rStyle w:val="VerbatimChar"/>
              </w:rPr>
              <w:t xml:space="preserve">Finding</w:t>
            </w:r>
            <w:r>
              <w:rPr>
                <w:color w:val="55604F"/>
                <w:sz w:val="20"/>
              </w:rPr>
              <w:t xml:space="preserve">,</w:t>
            </w:r>
            <w:r>
              <w:rPr>
                <w:color w:val="55604F"/>
                <w:sz w:val="20"/>
              </w:rPr>
              <w:t xml:space="preserve"> </w:t>
            </w:r>
            <w:r>
              <w:rPr>
                <w:color w:val="55604F"/>
                <w:sz w:val="20"/>
                <w:rStyle w:val="VerbatimChar"/>
              </w:rPr>
              <w:t xml:space="preserve">PageAudit</w:t>
            </w:r>
            <w:r>
              <w:rPr>
                <w:color w:val="55604F"/>
                <w:sz w:val="20"/>
              </w:rPr>
              <w:t xml:space="preserve">,</w:t>
            </w:r>
            <w:r>
              <w:rPr>
                <w:color w:val="55604F"/>
                <w:sz w:val="20"/>
              </w:rPr>
              <w:t xml:space="preserve"> </w:t>
            </w:r>
            <w:r>
              <w:rPr>
                <w:color w:val="55604F"/>
                <w:sz w:val="20"/>
                <w:rStyle w:val="VerbatimChar"/>
              </w:rPr>
              <w:t xml:space="preserve">ScanResult</w:t>
            </w:r>
            <w:r>
              <w:rPr>
                <w:color w:val="55604F"/>
                <w:sz w:val="20"/>
              </w:rPr>
              <w:t xml:space="preserve">; validação do JSON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Persistência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SQLAlchemy + Alembic; SQLite (local) ou PostgreSQL (nuvem)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2.0 / 1.13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Índice relacional derivado do documento JSON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API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FastAPI + Uvicorn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0.115 / 0.30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Casca fina sobre o domínio; OpenAPI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Linha de comando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Typer + Rich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0.12 / 13.7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  <w:rStyle w:val="VerbatimChar"/>
              </w:rPr>
              <w:t xml:space="preserve">acessisaude alvos | criterios | matriz | varrer | relatorio | exportar | servir | reindexar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Relatório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Jinja2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3.1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HTML autocontido, sem JavaScript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Análise estatística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pandas, numpy, scipy, statsmodels, matplotlib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extra</w:t>
            </w:r>
            <w:r>
              <w:rPr>
                <w:color w:val="55604F"/>
                <w:sz w:val="20"/>
              </w:rPr>
              <w:t xml:space="preserve"> </w:t>
            </w:r>
            <w:r>
              <w:rPr>
                <w:color w:val="55604F"/>
                <w:sz w:val="20"/>
                <w:rStyle w:val="VerbatimChar"/>
              </w:rPr>
              <w:t xml:space="preserve">analysis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Dataset, testes, figuras do artigo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Painel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React 18, React Router 6, TypeScript 5.6, Vite 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Interface para gestor e público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Qualidade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pytest, pytest-asyncio, ruff, mypy strict, eslint + jsx-a11y,</w:t>
            </w:r>
            <w:r>
              <w:rPr>
                <w:color w:val="55604F"/>
                <w:sz w:val="20"/>
              </w:rPr>
              <w:t xml:space="preserve"> </w:t>
            </w:r>
            <w:r>
              <w:rPr>
                <w:color w:val="55604F"/>
                <w:sz w:val="20"/>
              </w:rPr>
              <w:t xml:space="preserve">@axe-core/playwright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Testes, lint, tipagem, acessibilidade do painel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Implantação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Docker (python:3.12-slim), GitHub Actions, Render (cron + Postgres + web + static)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Coleta agendada e painel público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Ponto de observação alternativo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Google Apps Script (sonda de vantagem) e contêiner mínimo (Cloud Run)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Controle de rede: distingue portal indisponível de portal que recusa o IP (ADR 0009)</w:t>
            </w:r>
          </w:p>
        </w:tc>
      </w:tr>
    </w:tbl>
    <w:bookmarkEnd w:id="20"/>
    <w:bookmarkStart w:id="21" w:name="componentes-do-backend"/>
    <w:p>
      <w:pPr>
        <w:pStyle w:val="Heading2"/>
      </w:pPr>
      <w:r>
        <w:t xml:space="preserve">3.3 Componentes do backend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Pacote</w:t>
            </w:r>
          </w:p>
        </w:tc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Responsabilidade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  <w:rStyle w:val="VerbatimChar"/>
              </w:rPr>
              <w:t xml:space="preserve">domain/wcag.py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Os 50 critérios A/AA, com grupos afetados e justificativa em linguagem de gestor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  <w:rStyle w:val="VerbatimChar"/>
              </w:rPr>
              <w:t xml:space="preserve">domain/lbi.py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22 dispositivos normativos (12 da LBI, 3 constitucionais, 2 da Convenção da ONU e correlatos), com citação, sujeito obrigado e via de exigibilidade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  <w:rStyle w:val="VerbatimChar"/>
              </w:rPr>
              <w:t xml:space="preserve">domain/mapping.py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A matriz: 50 mapeamentos com risco jurídico, tese e conduta corretiva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  <w:rStyle w:val="VerbatimChar"/>
              </w:rPr>
              <w:t xml:space="preserve">domain/models.py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Contrato de dados da pesquisa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  <w:rStyle w:val="VerbatimChar"/>
              </w:rPr>
              <w:t xml:space="preserve">domain/scoring.py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ICA, IAN, IEJ, barreira absoluta e custo de acesso; tabela de calibração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  <w:rStyle w:val="VerbatimChar"/>
              </w:rPr>
              <w:t xml:space="preserve">catalog/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Catálogo YAML dos alvos: desenho amostral, não configuração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  <w:rStyle w:val="VerbatimChar"/>
              </w:rPr>
              <w:t xml:space="preserve">auditor/browser.py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Contextos isolados, parâmetros fixados (locale, fuso, esquema de cores), contabilidade de rede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  <w:rStyle w:val="VerbatimChar"/>
              </w:rPr>
              <w:t xml:space="preserve">auditor/axe_runner.py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Injeção do axe-core em todos os quadros e tradução para o domínio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  <w:rStyle w:val="VerbatimChar"/>
              </w:rPr>
              <w:t xml:space="preserve">auditor/probes/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16 sondas: estrutura, teclado, formulários, viewport, mídia, direitos digitais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  <w:rStyle w:val="VerbatimChar"/>
              </w:rPr>
              <w:t xml:space="preserve">auditor/crawler.py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  <w:rStyle w:val="VerbatimChar"/>
              </w:rPr>
              <w:t xml:space="preserve">robots.txt</w:t>
            </w:r>
            <w:r>
              <w:rPr>
                <w:color w:val="55604F"/>
                <w:sz w:val="20"/>
              </w:rPr>
              <w:t xml:space="preserve">, intervalo entre requisições, descoberta de links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  <w:rStyle w:val="VerbatimChar"/>
              </w:rPr>
              <w:t xml:space="preserve">auditor/engine.py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Planejamento antes do navegador; falhas viram dado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  <w:rStyle w:val="VerbatimChar"/>
              </w:rPr>
              <w:t xml:space="preserve">persistence/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Repositório, ORM, reindexação a partir do JSON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  <w:rStyle w:val="VerbatimChar"/>
              </w:rPr>
              <w:t xml:space="preserve">reporting/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Relatório HTML e exportação CSV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  <w:rStyle w:val="VerbatimChar"/>
              </w:rPr>
              <w:t xml:space="preserve">analysis/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Dataset, estatística e figuras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  <w:rStyle w:val="VerbatimChar"/>
              </w:rPr>
              <w:t xml:space="preserve">api/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Roteadores de referência, alvos e varreduras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  <w:rStyle w:val="VerbatimChar"/>
              </w:rPr>
              <w:t xml:space="preserve">cli.py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Interface de linha de comando</w:t>
            </w:r>
          </w:p>
        </w:tc>
      </w:tr>
    </w:tbl>
    <w:bookmarkEnd w:id="21"/>
    <w:bookmarkStart w:id="22" w:name="fluxo-de-uma-varredura"/>
    <w:p>
      <w:pPr>
        <w:pStyle w:val="Heading2"/>
      </w:pPr>
      <w:r>
        <w:t xml:space="preserve">3.4 Fluxo de uma varredura</w:t>
      </w:r>
    </w:p>
    <w:p>
      <w:pPr>
        <w:pStyle w:val="SourceCode"/>
      </w:pPr>
      <w:r>
        <w:rPr>
          <w:rStyle w:val="VerbatimChar"/>
        </w:rPr>
        <w:t xml:space="preserve">1. catálogo          →  alvo + sementes (exclui as que exigem autenticação)</w:t>
      </w:r>
      <w:r>
        <w:br/>
      </w:r>
      <w:r>
        <w:rPr>
          <w:rStyle w:val="VerbatimChar"/>
        </w:rPr>
        <w:t xml:space="preserve">2. plan()            →  lista de tarefas (URL × perfil), conhecida antes de abrir o navegador</w:t>
      </w:r>
      <w:r>
        <w:br/>
      </w:r>
      <w:r>
        <w:rPr>
          <w:rStyle w:val="VerbatimChar"/>
        </w:rPr>
        <w:t xml:space="preserve">3. por tarefa:</w:t>
      </w:r>
      <w:r>
        <w:br/>
      </w:r>
      <w:r>
        <w:rPr>
          <w:rStyle w:val="VerbatimChar"/>
        </w:rPr>
        <w:t xml:space="preserve">     robots.txt      →  permitido?</w:t>
      </w:r>
      <w:r>
        <w:br/>
      </w:r>
      <w:r>
        <w:rPr>
          <w:rStyle w:val="VerbatimChar"/>
        </w:rPr>
        <w:t xml:space="preserve">     intervalo       →  aguarda a cortesia devida ao host</w:t>
      </w:r>
      <w:r>
        <w:br/>
      </w:r>
      <w:r>
        <w:rPr>
          <w:rStyle w:val="VerbatimChar"/>
        </w:rPr>
        <w:t xml:space="preserve">     browser.open()  →  contexto novo, sem cache, com contabilidade de bytes</w:t>
      </w:r>
      <w:r>
        <w:br/>
      </w:r>
      <w:r>
        <w:rPr>
          <w:rStyle w:val="VerbatimChar"/>
        </w:rPr>
        <w:t xml:space="preserve">     axe-core        →  regras determinísticas sobre o DOM</w:t>
      </w:r>
      <w:r>
        <w:br/>
      </w:r>
      <w:r>
        <w:rPr>
          <w:rStyle w:val="VerbatimChar"/>
        </w:rPr>
        <w:t xml:space="preserve">     16 sondas       →  interação real, medição de rede, legibilidade</w:t>
      </w:r>
      <w:r>
        <w:br/>
      </w:r>
      <w:r>
        <w:rPr>
          <w:rStyle w:val="VerbatimChar"/>
        </w:rPr>
        <w:t xml:space="preserve">4. ScanResult        →  JSON + banco + relatório HTML</w:t>
      </w:r>
    </w:p>
    <w:p>
      <w:pPr>
        <w:pStyle w:val="FirstParagraph"/>
      </w:pPr>
      <w:r>
        <w:t xml:space="preserve">Cada achado sai com três camadas: técnica (regra, gravidade, seletor CSS, valores medidos), normativa (critério WCAG 2.1) e jurídica (risco, tese, dispositivos invocáveis, via de exigibilidade). O motor não decide o que é violação (axe e sondas), o que é ilegal (</w:t>
      </w:r>
      <w:r>
        <w:rPr>
          <w:rStyle w:val="VerbatimChar"/>
        </w:rPr>
        <w:t xml:space="preserve">mapping.py</w:t>
      </w:r>
      <w:r>
        <w:t xml:space="preserve">) nem como pontuar (</w:t>
      </w:r>
      <w:r>
        <w:rPr>
          <w:rStyle w:val="VerbatimChar"/>
        </w:rPr>
        <w:t xml:space="preserve">scoring.py</w:t>
      </w:r>
      <w:r>
        <w:t xml:space="preserve">): as três decisões que precisam ser defendidas no artigo ficam fora do código de coleta.</w:t>
      </w:r>
    </w:p>
    <w:bookmarkEnd w:id="22"/>
    <w:bookmarkStart w:id="23" w:name="modelo-de-dados"/>
    <w:p>
      <w:pPr>
        <w:pStyle w:val="Heading2"/>
      </w:pPr>
      <w:r>
        <w:t xml:space="preserve">3.5 Modelo de dados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b/>
          <w:bCs/>
        </w:rPr>
        <w:t xml:space="preserve">documento JSON de cada varredura é a fonte da verdade</w:t>
      </w:r>
      <w:r>
        <w:t xml:space="preserve"> </w:t>
      </w:r>
      <w:r>
        <w:t xml:space="preserve">e o dado primário da pesquisa. As tabelas</w:t>
      </w:r>
      <w:r>
        <w:t xml:space="preserve"> </w:t>
      </w:r>
      <w:r>
        <w:rPr>
          <w:rStyle w:val="VerbatimChar"/>
        </w:rPr>
        <w:t xml:space="preserve">scans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findings</w:t>
      </w:r>
      <w:r>
        <w:t xml:space="preserve"> </w:t>
      </w:r>
      <w:r>
        <w:t xml:space="preserve">são índice achatado, para consulta rápida, e podem ser reconstruídas a qualquer momento por</w:t>
      </w:r>
      <w:r>
        <w:t xml:space="preserve"> </w:t>
      </w:r>
      <w:r>
        <w:rPr>
          <w:rStyle w:val="VerbatimChar"/>
        </w:rPr>
        <w:t xml:space="preserve">acessisaude reindexar</w:t>
      </w:r>
      <w:r>
        <w:t xml:space="preserve">. Isso torna operacional a promessa de que mudar o cálculo de um índice, ou a interpretação jurídica de um critério, não exige revarrer portal algum.</w:t>
      </w:r>
    </w:p>
    <w:p>
      <w:pPr>
        <w:pStyle w:val="BodyText"/>
      </w:pPr>
      <w:r>
        <w:t xml:space="preserve">Cada varredura carrega: identificação do alvo, data e hora, perfis de dispositivo, versão do motor e do axe-core,</w:t>
      </w:r>
      <w:r>
        <w:t xml:space="preserve"> </w:t>
      </w:r>
      <w:r>
        <w:rPr>
          <w:rStyle w:val="VerbatimChar"/>
        </w:rPr>
        <w:t xml:space="preserve">config_snapshot</w:t>
      </w:r>
      <w:r>
        <w:t xml:space="preserve"> </w:t>
      </w:r>
      <w:r>
        <w:t xml:space="preserve">com todos os parâmetros de pontuação e custo, lista de páginas com status (</w:t>
      </w:r>
      <w:r>
        <w:rPr>
          <w:rStyle w:val="VerbatimChar"/>
        </w:rPr>
        <w:t xml:space="preserve">OK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TIMEOUT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HTTP_ERROR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BLOCKED_BY_ROBOTS</w:t>
      </w:r>
      <w:r>
        <w:t xml:space="preserve">,</w:t>
      </w:r>
      <w:r>
        <w:t xml:space="preserve"> </w:t>
      </w:r>
      <w:r>
        <w:rPr>
          <w:rStyle w:val="VerbatimChar"/>
        </w:rPr>
        <w:t xml:space="preserve">NAVIGATION_ERROR</w:t>
      </w:r>
      <w:r>
        <w:t xml:space="preserve">), bytes trafegados por domínio, achados, índices com campo</w:t>
      </w:r>
      <w:r>
        <w:t xml:space="preserve"> </w:t>
      </w:r>
      <w:r>
        <w:rPr>
          <w:rStyle w:val="VerbatimChar"/>
        </w:rPr>
        <w:t xml:space="preserve">coverage</w:t>
      </w:r>
      <w:r>
        <w:t xml:space="preserve"> </w:t>
      </w:r>
      <w:r>
        <w:t xml:space="preserve">e taxa de perda. O dicionário de dados completo está em</w:t>
      </w:r>
      <w:r>
        <w:t xml:space="preserve"> </w:t>
      </w:r>
      <w:r>
        <w:rPr>
          <w:rStyle w:val="VerbatimChar"/>
        </w:rPr>
        <w:t xml:space="preserve">docs/api/dicionario-de-dados.md</w:t>
      </w:r>
      <w:r>
        <w:t xml:space="preserve">.</w:t>
      </w:r>
    </w:p>
    <w:bookmarkEnd w:id="23"/>
    <w:bookmarkStart w:id="24" w:name="api"/>
    <w:p>
      <w:pPr>
        <w:pStyle w:val="Heading2"/>
      </w:pPr>
      <w:r>
        <w:t xml:space="preserve">3.6 API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Grupo</w:t>
            </w:r>
          </w:p>
        </w:tc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Rotas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Operação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  <w:rStyle w:val="VerbatimChar"/>
              </w:rPr>
              <w:t xml:space="preserve">GET /saude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Referência normativa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  <w:rStyle w:val="VerbatimChar"/>
              </w:rPr>
              <w:t xml:space="preserve">GET /referencia/criterios</w:t>
            </w:r>
            <w:r>
              <w:rPr>
                <w:color w:val="55604F"/>
                <w:sz w:val="20"/>
              </w:rPr>
              <w:t xml:space="preserve">,</w:t>
            </w:r>
            <w:r>
              <w:rPr>
                <w:color w:val="55604F"/>
                <w:sz w:val="20"/>
              </w:rPr>
              <w:t xml:space="preserve"> </w:t>
            </w:r>
            <w:r>
              <w:rPr>
                <w:color w:val="55604F"/>
                <w:sz w:val="20"/>
                <w:rStyle w:val="VerbatimChar"/>
              </w:rPr>
              <w:t xml:space="preserve">GET /referencia/criterios/{id}</w:t>
            </w:r>
            <w:r>
              <w:rPr>
                <w:color w:val="55604F"/>
                <w:sz w:val="20"/>
              </w:rPr>
              <w:t xml:space="preserve">,</w:t>
            </w:r>
            <w:r>
              <w:rPr>
                <w:color w:val="55604F"/>
                <w:sz w:val="20"/>
              </w:rPr>
              <w:t xml:space="preserve"> </w:t>
            </w:r>
            <w:r>
              <w:rPr>
                <w:color w:val="55604F"/>
                <w:sz w:val="20"/>
                <w:rStyle w:val="VerbatimChar"/>
              </w:rPr>
              <w:t xml:space="preserve">GET /referencia/dispositivos</w:t>
            </w:r>
            <w:r>
              <w:rPr>
                <w:color w:val="55604F"/>
                <w:sz w:val="20"/>
              </w:rPr>
              <w:t xml:space="preserve">,</w:t>
            </w:r>
            <w:r>
              <w:rPr>
                <w:color w:val="55604F"/>
                <w:sz w:val="20"/>
              </w:rPr>
              <w:t xml:space="preserve"> </w:t>
            </w:r>
            <w:r>
              <w:rPr>
                <w:color w:val="55604F"/>
                <w:sz w:val="20"/>
                <w:rStyle w:val="VerbatimChar"/>
              </w:rPr>
              <w:t xml:space="preserve">GET /referencia/dispositivos/{chave}</w:t>
            </w:r>
            <w:r>
              <w:rPr>
                <w:color w:val="55604F"/>
                <w:sz w:val="20"/>
              </w:rPr>
              <w:t xml:space="preserve">,</w:t>
            </w:r>
            <w:r>
              <w:rPr>
                <w:color w:val="55604F"/>
                <w:sz w:val="20"/>
              </w:rPr>
              <w:t xml:space="preserve"> </w:t>
            </w:r>
            <w:r>
              <w:rPr>
                <w:color w:val="55604F"/>
                <w:sz w:val="20"/>
                <w:rStyle w:val="VerbatimChar"/>
              </w:rPr>
              <w:t xml:space="preserve">GET /referencia/integridade-da-matriz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Alvos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  <w:rStyle w:val="VerbatimChar"/>
              </w:rPr>
              <w:t xml:space="preserve">GET /alvos</w:t>
            </w:r>
            <w:r>
              <w:rPr>
                <w:color w:val="55604F"/>
                <w:sz w:val="20"/>
              </w:rPr>
              <w:t xml:space="preserve">,</w:t>
            </w:r>
            <w:r>
              <w:rPr>
                <w:color w:val="55604F"/>
                <w:sz w:val="20"/>
              </w:rPr>
              <w:t xml:space="preserve"> </w:t>
            </w:r>
            <w:r>
              <w:rPr>
                <w:color w:val="55604F"/>
                <w:sz w:val="20"/>
                <w:rStyle w:val="VerbatimChar"/>
              </w:rPr>
              <w:t xml:space="preserve">GET /alvos/{id}</w:t>
            </w:r>
            <w:r>
              <w:rPr>
                <w:color w:val="55604F"/>
                <w:sz w:val="20"/>
              </w:rPr>
              <w:t xml:space="preserve">,</w:t>
            </w:r>
            <w:r>
              <w:rPr>
                <w:color w:val="55604F"/>
                <w:sz w:val="20"/>
              </w:rPr>
              <w:t xml:space="preserve"> </w:t>
            </w:r>
            <w:r>
              <w:rPr>
                <w:color w:val="55604F"/>
                <w:sz w:val="20"/>
                <w:rStyle w:val="VerbatimChar"/>
              </w:rPr>
              <w:t xml:space="preserve">GET /alvos/{id}/paginas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Varreduras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  <w:rStyle w:val="VerbatimChar"/>
              </w:rPr>
              <w:t xml:space="preserve">POST /varreduras</w:t>
            </w:r>
            <w:r>
              <w:rPr>
                <w:color w:val="55604F"/>
                <w:sz w:val="20"/>
              </w:rPr>
              <w:t xml:space="preserve"> </w:t>
            </w:r>
            <w:r>
              <w:rPr>
                <w:color w:val="55604F"/>
                <w:sz w:val="20"/>
              </w:rPr>
              <w:t xml:space="preserve">(202),</w:t>
            </w:r>
            <w:r>
              <w:rPr>
                <w:color w:val="55604F"/>
                <w:sz w:val="20"/>
              </w:rPr>
              <w:t xml:space="preserve"> </w:t>
            </w:r>
            <w:r>
              <w:rPr>
                <w:color w:val="55604F"/>
                <w:sz w:val="20"/>
                <w:rStyle w:val="VerbatimChar"/>
              </w:rPr>
              <w:t xml:space="preserve">GET /varreduras/trabalhos/{job_id}</w:t>
            </w:r>
            <w:r>
              <w:rPr>
                <w:color w:val="55604F"/>
                <w:sz w:val="20"/>
              </w:rPr>
              <w:t xml:space="preserve">,</w:t>
            </w:r>
            <w:r>
              <w:rPr>
                <w:color w:val="55604F"/>
                <w:sz w:val="20"/>
              </w:rPr>
              <w:t xml:space="preserve"> </w:t>
            </w:r>
            <w:r>
              <w:rPr>
                <w:color w:val="55604F"/>
                <w:sz w:val="20"/>
                <w:rStyle w:val="VerbatimChar"/>
              </w:rPr>
              <w:t xml:space="preserve">GET /varreduras</w:t>
            </w:r>
            <w:r>
              <w:rPr>
                <w:color w:val="55604F"/>
                <w:sz w:val="20"/>
              </w:rPr>
              <w:t xml:space="preserve">,</w:t>
            </w:r>
            <w:r>
              <w:rPr>
                <w:color w:val="55604F"/>
                <w:sz w:val="20"/>
              </w:rPr>
              <w:t xml:space="preserve"> </w:t>
            </w:r>
            <w:r>
              <w:rPr>
                <w:color w:val="55604F"/>
                <w:sz w:val="20"/>
                <w:rStyle w:val="VerbatimChar"/>
              </w:rPr>
              <w:t xml:space="preserve">GET /varreduras/{id}</w:t>
            </w:r>
            <w:r>
              <w:rPr>
                <w:color w:val="55604F"/>
                <w:sz w:val="20"/>
              </w:rPr>
              <w:t xml:space="preserve">,</w:t>
            </w:r>
            <w:r>
              <w:rPr>
                <w:color w:val="55604F"/>
                <w:sz w:val="20"/>
              </w:rPr>
              <w:t xml:space="preserve"> </w:t>
            </w:r>
            <w:r>
              <w:rPr>
                <w:color w:val="55604F"/>
                <w:sz w:val="20"/>
                <w:rStyle w:val="VerbatimChar"/>
              </w:rPr>
              <w:t xml:space="preserve">GET /varreduras/{id}/indices</w:t>
            </w:r>
            <w:r>
              <w:rPr>
                <w:color w:val="55604F"/>
                <w:sz w:val="20"/>
              </w:rPr>
              <w:t xml:space="preserve">,</w:t>
            </w:r>
            <w:r>
              <w:rPr>
                <w:color w:val="55604F"/>
                <w:sz w:val="20"/>
              </w:rPr>
              <w:t xml:space="preserve"> </w:t>
            </w:r>
            <w:r>
              <w:rPr>
                <w:color w:val="55604F"/>
                <w:sz w:val="20"/>
                <w:rStyle w:val="VerbatimChar"/>
              </w:rPr>
              <w:t xml:space="preserve">GET /varreduras/{id}/relatorio</w:t>
            </w:r>
            <w:r>
              <w:rPr>
                <w:color w:val="55604F"/>
                <w:sz w:val="20"/>
              </w:rPr>
              <w:t xml:space="preserve"> </w:t>
            </w:r>
            <w:r>
              <w:rPr>
                <w:color w:val="55604F"/>
                <w:sz w:val="20"/>
              </w:rPr>
              <w:t xml:space="preserve">(HTML),</w:t>
            </w:r>
            <w:r>
              <w:rPr>
                <w:color w:val="55604F"/>
                <w:sz w:val="20"/>
              </w:rPr>
              <w:t xml:space="preserve"> </w:t>
            </w:r>
            <w:r>
              <w:rPr>
                <w:color w:val="55604F"/>
                <w:sz w:val="20"/>
                <w:rStyle w:val="VerbatimChar"/>
              </w:rPr>
              <w:t xml:space="preserve">GET /varreduras/{id}/achados.csv</w:t>
            </w:r>
            <w:r>
              <w:rPr>
                <w:color w:val="55604F"/>
                <w:sz w:val="20"/>
              </w:rPr>
              <w:t xml:space="preserve">,</w:t>
            </w:r>
            <w:r>
              <w:rPr>
                <w:color w:val="55604F"/>
                <w:sz w:val="20"/>
              </w:rPr>
              <w:t xml:space="preserve"> </w:t>
            </w:r>
            <w:r>
              <w:rPr>
                <w:color w:val="55604F"/>
                <w:sz w:val="20"/>
                <w:rStyle w:val="VerbatimChar"/>
              </w:rPr>
              <w:t xml:space="preserve">GET /varreduras/agregados/criterios</w:t>
            </w:r>
            <w:r>
              <w:rPr>
                <w:color w:val="55604F"/>
                <w:sz w:val="20"/>
              </w:rPr>
              <w:t xml:space="preserve">,</w:t>
            </w:r>
            <w:r>
              <w:rPr>
                <w:color w:val="55604F"/>
                <w:sz w:val="20"/>
              </w:rPr>
              <w:t xml:space="preserve"> </w:t>
            </w:r>
            <w:r>
              <w:rPr>
                <w:color w:val="55604F"/>
                <w:sz w:val="20"/>
                <w:rStyle w:val="VerbatimChar"/>
              </w:rPr>
              <w:t xml:space="preserve">DELETE /varreduras/{id}</w:t>
            </w:r>
          </w:p>
        </w:tc>
      </w:tr>
    </w:tbl>
    <w:p>
      <w:pPr>
        <w:pStyle w:val="BodyText"/>
      </w:pPr>
      <w:r>
        <w:t xml:space="preserve">O painel consome a rota de referência em vez de reimplementar a matriz em TypeScript; do contrário ela existiria em duas versões, e elas divergiriam.</w:t>
      </w:r>
    </w:p>
    <w:bookmarkEnd w:id="24"/>
    <w:bookmarkStart w:id="25" w:name="painel"/>
    <w:p>
      <w:pPr>
        <w:pStyle w:val="Heading2"/>
      </w:pPr>
      <w:r>
        <w:t xml:space="preserve">3.7 Painel</w:t>
      </w:r>
    </w:p>
    <w:p>
      <w:pPr>
        <w:pStyle w:val="FirstParagraph"/>
      </w:pPr>
      <w:r>
        <w:t xml:space="preserve">Quatro telas:</w:t>
      </w:r>
      <w:r>
        <w:t xml:space="preserve"> </w:t>
      </w:r>
      <w:r>
        <w:rPr>
          <w:b/>
          <w:bCs/>
        </w:rPr>
        <w:t xml:space="preserve">Visão geral</w:t>
      </w:r>
      <w:r>
        <w:t xml:space="preserve"> </w:t>
      </w:r>
      <w:r>
        <w:t xml:space="preserve">(índices por plataforma e por esfera, série diária),</w:t>
      </w:r>
      <w:r>
        <w:t xml:space="preserve"> </w:t>
      </w:r>
      <w:r>
        <w:rPr>
          <w:b/>
          <w:bCs/>
        </w:rPr>
        <w:t xml:space="preserve">Alvos</w:t>
      </w:r>
      <w:r>
        <w:t xml:space="preserve"> </w:t>
      </w:r>
      <w:r>
        <w:t xml:space="preserve">(catálogo, estado de habilitação, justificativa de inclusão),</w:t>
      </w:r>
      <w:r>
        <w:t xml:space="preserve"> </w:t>
      </w:r>
      <w:r>
        <w:rPr>
          <w:b/>
          <w:bCs/>
        </w:rPr>
        <w:t xml:space="preserve">Detalhe da varredura</w:t>
      </w:r>
      <w:r>
        <w:t xml:space="preserve"> </w:t>
      </w:r>
      <w:r>
        <w:t xml:space="preserve">(achados por página, três camadas, relatório e CSV) e</w:t>
      </w:r>
      <w:r>
        <w:t xml:space="preserve"> </w:t>
      </w:r>
      <w:r>
        <w:rPr>
          <w:b/>
          <w:bCs/>
        </w:rPr>
        <w:t xml:space="preserve">Referência</w:t>
      </w:r>
      <w:r>
        <w:t xml:space="preserve"> </w:t>
      </w:r>
      <w:r>
        <w:t xml:space="preserve">(50 critérios, 22 dispositivos, integridade da matriz). Toda tela repete a advertência de que ausência de achado não equivale a conformidade. O painel é auditado pelo mesmo axe-core que ele exibe, em dois perfis de dispositivo, e a construção falha diante de qualquer violação de nível A ou AA; duas correções reais de acessibilidade no próprio painel foram descobertas por essa suíte.</w:t>
      </w:r>
    </w:p>
    <w:bookmarkEnd w:id="25"/>
    <w:bookmarkStart w:id="26" w:name="implantação"/>
    <w:p>
      <w:pPr>
        <w:pStyle w:val="Heading2"/>
      </w:pPr>
      <w:r>
        <w:t xml:space="preserve">3.8 Implantação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Cenário</w:t>
            </w:r>
          </w:p>
        </w:tc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Composição</w:t>
            </w:r>
          </w:p>
        </w:tc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Uso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Local, um clique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  <w:rStyle w:val="VerbatimChar"/>
              </w:rPr>
              <w:t xml:space="preserve">iniciar.bat</w:t>
            </w:r>
            <w:r>
              <w:rPr>
                <w:color w:val="55604F"/>
                <w:sz w:val="20"/>
              </w:rPr>
              <w:t xml:space="preserve">: venv, backend, Chromium, painel, primeira auditoria contra o conjunto de validação, API em :8000 e painel em :5173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Demonstração e desenvolvimento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GitHub Actions (recomendado para a pesquisa)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Workflow</w:t>
            </w:r>
            <w:r>
              <w:rPr>
                <w:color w:val="55604F"/>
                <w:sz w:val="20"/>
              </w:rPr>
              <w:t xml:space="preserve"> </w:t>
            </w:r>
            <w:r>
              <w:rPr>
                <w:color w:val="55604F"/>
                <w:sz w:val="20"/>
                <w:rStyle w:val="VerbatimChar"/>
              </w:rPr>
              <w:t xml:space="preserve">coleta.yml</w:t>
            </w:r>
            <w:r>
              <w:rPr>
                <w:color w:val="55604F"/>
                <w:sz w:val="20"/>
              </w:rPr>
              <w:t xml:space="preserve">: aferição, coleta dos alvos habilitados, exportação; dados no ramo órfão</w:t>
            </w:r>
            <w:r>
              <w:rPr>
                <w:color w:val="55604F"/>
                <w:sz w:val="20"/>
              </w:rPr>
              <w:t xml:space="preserve"> </w:t>
            </w:r>
            <w:r>
              <w:rPr>
                <w:color w:val="55604F"/>
                <w:sz w:val="20"/>
                <w:rStyle w:val="VerbatimChar"/>
              </w:rPr>
              <w:t xml:space="preserve">serie-temporal</w:t>
            </w:r>
            <w:r>
              <w:rPr>
                <w:color w:val="55604F"/>
                <w:sz w:val="20"/>
              </w:rPr>
              <w:t xml:space="preserve">, versionados e citáveis por commit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Produção da série do artigo; custo zero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Tarefa agendada em máquina brasileira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  <w:rStyle w:val="VerbatimChar"/>
              </w:rPr>
              <w:t xml:space="preserve">scripts/coleta-diaria.ps1</w:t>
            </w:r>
            <w:r>
              <w:rPr>
                <w:color w:val="55604F"/>
                <w:sz w:val="20"/>
              </w:rPr>
              <w:t xml:space="preserve">, uma vez por dia, com IP residencial nacional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Braço brasileiro da série (o runner do GitHub recebeu HTTP 403 de uma plataforma)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Render (painel público)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  <w:rStyle w:val="VerbatimChar"/>
              </w:rPr>
              <w:t xml:space="preserve">render.yaml</w:t>
            </w:r>
            <w:r>
              <w:rPr>
                <w:color w:val="55604F"/>
                <w:sz w:val="20"/>
              </w:rPr>
              <w:t xml:space="preserve">: cron de coleta (3 janelas diárias), PostgreSQL, API e painel estático; imagem Docker única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Monitoramento visível a gestor; o cron não tem disco persistente, e o JSON sobrevive na coluna</w:t>
            </w:r>
            <w:r>
              <w:rPr>
                <w:color w:val="55604F"/>
                <w:sz w:val="20"/>
              </w:rPr>
              <w:t xml:space="preserve"> </w:t>
            </w:r>
            <w:r>
              <w:rPr>
                <w:color w:val="55604F"/>
                <w:sz w:val="20"/>
                <w:rStyle w:val="VerbatimChar"/>
              </w:rPr>
              <w:t xml:space="preserve">document</w:t>
            </w:r>
            <w:r>
              <w:rPr>
                <w:color w:val="55604F"/>
                <w:sz w:val="20"/>
              </w:rPr>
              <w:t xml:space="preserve"> </w:t>
            </w:r>
            <w:r>
              <w:rPr>
                <w:color w:val="55604F"/>
                <w:sz w:val="20"/>
              </w:rPr>
              <w:t xml:space="preserve">do Postgres</w:t>
            </w:r>
          </w:p>
        </w:tc>
      </w:tr>
    </w:tbl>
    <w:p>
      <w:pPr>
        <w:pStyle w:val="BodyText"/>
      </w:pPr>
      <w:r>
        <w:t xml:space="preserve">Ordem de uma execução agendada: (1) varre o conjunto de validação sintético; (2)</w:t>
      </w:r>
      <w:r>
        <w:t xml:space="preserve"> </w:t>
      </w:r>
      <w:r>
        <w:rPr>
          <w:b/>
          <w:bCs/>
        </w:rPr>
        <w:t xml:space="preserve">afere</w:t>
      </w:r>
      <w:r>
        <w:t xml:space="preserve"> </w:t>
      </w:r>
      <w:r>
        <w:t xml:space="preserve">o instrumento contra essa varredura e aborta se reprovar; (3) varre os alvos habilitados; (4) exporta o dataset acumulado. Um instrumento não aferido não toca portal público.</w:t>
      </w:r>
    </w:p>
    <w:bookmarkEnd w:id="26"/>
    <w:bookmarkStart w:id="27" w:name="decisões-de-arquitetura-registradas"/>
    <w:p>
      <w:pPr>
        <w:pStyle w:val="Heading2"/>
      </w:pPr>
      <w:r>
        <w:t xml:space="preserve">3.9 Decisões de arquitetura registradas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ADR</w:t>
            </w:r>
          </w:p>
        </w:tc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Decisão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0001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Escopo restrito aos níveis A e AA da WCAG 2.1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0002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Vendorizar o axe-core em vez de baixá-lo em execução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0003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JSON como fonte da verdade, SQL como índice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0004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Escrever sondas próprias além do axe-core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0005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Ponderar os índices por risco jurídico, não por gravidade técnica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0006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Tratar o custo de acesso como barreira auditável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0007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Recalibrar κ empiricamente (40 → 150)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0008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User-Agent explícito em todos os perfis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0009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O ponto de observação de rede é variável do estudo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0010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Índices nulos quando não há observação: nulo não é zero</w:t>
            </w:r>
          </w:p>
        </w:tc>
      </w:tr>
    </w:tbl>
    <w:bookmarkEnd w:id="27"/>
    <w:bookmarkStart w:id="28" w:name="segurança-ética-e-conformidade"/>
    <w:p>
      <w:pPr>
        <w:pStyle w:val="Heading2"/>
      </w:pPr>
      <w:r>
        <w:t xml:space="preserve">3.10 Segurança, ética e conformidade</w:t>
      </w:r>
    </w:p>
    <w:p>
      <w:pPr>
        <w:pStyle w:val="Compact"/>
        <w:numPr>
          <w:ilvl w:val="0"/>
          <w:numId w:val="1004"/>
        </w:numPr>
      </w:pPr>
      <w:r>
        <w:t xml:space="preserve">A coleta restringe-se ao documento renderizado de páginas públicas, sem autenticação, sem preenchimento de formulários e sem transmissão de dados pessoais; não se enquadra nas hipóteses de submissão ao CEP/Conep (Resolução CNS 510/2016).</w:t>
      </w:r>
    </w:p>
    <w:p>
      <w:pPr>
        <w:pStyle w:val="Compact"/>
        <w:numPr>
          <w:ilvl w:val="0"/>
          <w:numId w:val="1004"/>
        </w:numPr>
      </w:pPr>
      <w:r>
        <w:t xml:space="preserve">Identificação obrigatória do pesquisador no User-Agent; sem ela o script de coleta recusa executar.</w:t>
      </w:r>
    </w:p>
    <w:p>
      <w:pPr>
        <w:pStyle w:val="Compact"/>
        <w:numPr>
          <w:ilvl w:val="0"/>
          <w:numId w:val="1004"/>
        </w:numPr>
      </w:pPr>
      <w:r>
        <w:t xml:space="preserve">Respeito a</w:t>
      </w:r>
      <w:r>
        <w:t xml:space="preserve"> </w:t>
      </w:r>
      <w:r>
        <w:rPr>
          <w:rStyle w:val="VerbatimChar"/>
        </w:rPr>
        <w:t xml:space="preserve">robots.txt</w:t>
      </w:r>
      <w:r>
        <w:t xml:space="preserve"> </w:t>
      </w:r>
      <w:r>
        <w:t xml:space="preserve">por padrão; desativar exige justificativa registrada, que fica gravada no dataset.</w:t>
      </w:r>
    </w:p>
    <w:p>
      <w:pPr>
        <w:pStyle w:val="Compact"/>
        <w:numPr>
          <w:ilvl w:val="0"/>
          <w:numId w:val="1004"/>
        </w:numPr>
      </w:pPr>
      <w:r>
        <w:t xml:space="preserve">Alvos nascem desabilitados; habilitar é decisão consciente, registrada em commit.</w:t>
      </w:r>
    </w:p>
    <w:p>
      <w:pPr>
        <w:pStyle w:val="Compact"/>
        <w:numPr>
          <w:ilvl w:val="0"/>
          <w:numId w:val="1004"/>
        </w:numPr>
      </w:pPr>
      <w:r>
        <w:t xml:space="preserve">Segredos (contato da pesquisa, URL do banco, origens CORS) ficam fora do repositório, em variáveis de ambiente marcadas</w:t>
      </w:r>
      <w:r>
        <w:t xml:space="preserve"> </w:t>
      </w:r>
      <w:r>
        <w:rPr>
          <w:rStyle w:val="VerbatimChar"/>
        </w:rPr>
        <w:t xml:space="preserve">sync: false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Comunicação prévia aos órgãos auditados, com o relatório HTML encaminhado, integra a conduta declarada do projeto.</w:t>
      </w:r>
    </w:p>
    <w:bookmarkEnd w:id="28"/>
    <w:bookmarkEnd w:id="29"/>
    <w:bookmarkStart w:id="35" w:name="plano-de-entregas"/>
    <w:p>
      <w:pPr>
        <w:pStyle w:val="Heading1"/>
      </w:pPr>
      <w:r>
        <w:t xml:space="preserve">4. Plano de entregas</w:t>
      </w:r>
    </w:p>
    <w:bookmarkStart w:id="30" w:name="entregas-já-realizadas"/>
    <w:p>
      <w:pPr>
        <w:pStyle w:val="Heading2"/>
      </w:pPr>
      <w:r>
        <w:t xml:space="preserve">4.1 Entregas já realizadas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Entrega</w:t>
            </w:r>
          </w:p>
        </w:tc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Data</w:t>
            </w:r>
          </w:p>
        </w:tc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Conteúdo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E0 — Núcleo do instrumento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15/08/2026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Domínio normativo, motor de auditoria, 16 sondas, persistência, relatório, API, painel, testes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E1 — Coleta de campo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15/08/2026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Parâmetros de custo coletados e datados; primeira coleta em 5 plataformas; segunda e terceira medições; correção de defeito de identificação do instrumento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E2 — Auditoria contínua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17 a 19/08/2026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Workflow agendado com portão de aferição; braço brasileiro da série; sonda de vantagem em terceiro ponto de observação; ADR 0009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E3 — Série diária e correção do instrumento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31/08/2026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13 dias de série; índices nulos sem observação (ADR 0010); série entra no artigo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E4 — Manuscrito em duas versões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04 a 05/09/2026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Versão reduzida (59.984 caracteres) para a Reciis e versão estendida; bloco transversal de 04/09 com 20/20 auditorias; verificação automática de divergência entre as versões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E5 — Revisão pela autoavaliação da revista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09/09/2026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Todos os pontos do roteiro da Reciis corrigidos nas duas versões; figuras regeradas; janela da série em 22 dias</w:t>
            </w:r>
          </w:p>
        </w:tc>
      </w:tr>
    </w:tbl>
    <w:bookmarkEnd w:id="30"/>
    <w:bookmarkStart w:id="31" w:name="cronograma-até-20102026"/>
    <w:p>
      <w:pPr>
        <w:pStyle w:val="Heading2"/>
      </w:pPr>
      <w:r>
        <w:t xml:space="preserve">4.2 Cronograma até 20/10/2026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Semana</w:t>
            </w:r>
          </w:p>
        </w:tc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Período</w:t>
            </w:r>
          </w:p>
        </w:tc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Entrega</w:t>
            </w:r>
          </w:p>
        </w:tc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Atividades</w:t>
            </w:r>
          </w:p>
        </w:tc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Resultado verificável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S1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15 a 20/09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E6a — Fechamento da série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Fixar a data de corte da série diária no registro de campo; reprocessar (</w:t>
            </w:r>
            <w:r>
              <w:rPr>
                <w:color w:val="55604F"/>
                <w:sz w:val="20"/>
                <w:rStyle w:val="VerbatimChar"/>
              </w:rPr>
              <w:t xml:space="preserve">reindexar</w:t>
            </w:r>
            <w:r>
              <w:rPr>
                <w:color w:val="55604F"/>
                <w:sz w:val="20"/>
              </w:rPr>
              <w:t xml:space="preserve">,</w:t>
            </w:r>
            <w:r>
              <w:rPr>
                <w:color w:val="55604F"/>
                <w:sz w:val="20"/>
              </w:rPr>
              <w:t xml:space="preserve"> </w:t>
            </w:r>
            <w:r>
              <w:rPr>
                <w:color w:val="55604F"/>
                <w:sz w:val="20"/>
                <w:rStyle w:val="VerbatimChar"/>
              </w:rPr>
              <w:t xml:space="preserve">gerar_figuras.py</w:t>
            </w:r>
            <w:r>
              <w:rPr>
                <w:color w:val="55604F"/>
                <w:sz w:val="20"/>
              </w:rPr>
              <w:t xml:space="preserve">); refazer a contagem de caracteres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Data de corte registrada; figuras e tabelas coerentes com o corte; contagem dentro do limite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S1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15 a 20/09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Entrega da disciplina (09 a 11/09)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PDF compilado dos artigos; introdução no formato da revista; documento com membros, revista e introdução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Três arquivos enviados ao professor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S2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21 a 27/09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E6b — Depósito com identificador persistente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Depositar dados primários (JSON da série) e material suplementar (justificativa por alvo; matriz dos 50 critérios com os três vetores de risco) em repositório com DOI; publicar o código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DOI dos dados e do material suplementar; repositório público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S2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21 a 27/09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E6c — Conferência de referências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Substituir a citação da Anatel pelo relatório primário; confirmar paginação e DOI das seis referências pendentes; reconferir parâmetros de custo com captura arquivada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Tabela de conferência da folha de submissão sem itens abertos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S3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28/09 a 04/10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E7 — Submissão à Reciis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Converter o manuscrito para</w:t>
            </w:r>
            <w:r>
              <w:rPr>
                <w:color w:val="55604F"/>
                <w:sz w:val="20"/>
              </w:rPr>
              <w:t xml:space="preserve"> </w:t>
            </w:r>
            <w:r>
              <w:rPr>
                <w:color w:val="55604F"/>
                <w:sz w:val="20"/>
                <w:rStyle w:val="VerbatimChar"/>
              </w:rPr>
              <w:t xml:space="preserve">.docx</w:t>
            </w:r>
            <w:r>
              <w:rPr>
                <w:color w:val="55604F"/>
                <w:sz w:val="20"/>
              </w:rPr>
              <w:t xml:space="preserve"> </w:t>
            </w:r>
            <w:r>
              <w:rPr>
                <w:color w:val="55604F"/>
                <w:sz w:val="20"/>
              </w:rPr>
              <w:t xml:space="preserve">no formato da revista (Arial 11, 1,5, A4, 2 cm; tabelas em 10 pt e abertas nas laterais); remover identificação de autoria das propriedades do arquivo; preencher folha de rosto e declaração de responsabilidade; anexar as cinco figuras em SVG; comunicar previamente os órgãos auditados com o relatório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Protocolo de submissão emitido pelo sistema da revista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S4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05 a 11/10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E8 — Consolidação do MVP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Refinamento visual do painel já em andamento (App, Dashboard, Alvos, Detalhe, Referência); rodar a suíte completa (115 unitários, 18 de integração, 18 de acessibilidade); revisar documentação de instalação e uso; validar o</w:t>
            </w:r>
            <w:r>
              <w:rPr>
                <w:color w:val="55604F"/>
                <w:sz w:val="20"/>
              </w:rPr>
              <w:t xml:space="preserve"> </w:t>
            </w:r>
            <w:r>
              <w:rPr>
                <w:color w:val="55604F"/>
                <w:sz w:val="20"/>
                <w:rStyle w:val="VerbatimChar"/>
              </w:rPr>
              <w:t xml:space="preserve">iniciar.bat</w:t>
            </w:r>
            <w:r>
              <w:rPr>
                <w:color w:val="55604F"/>
                <w:sz w:val="20"/>
              </w:rPr>
              <w:t xml:space="preserve"> </w:t>
            </w:r>
            <w:r>
              <w:rPr>
                <w:color w:val="55604F"/>
                <w:sz w:val="20"/>
              </w:rPr>
              <w:t xml:space="preserve">em máquina limpa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Suíte verde; instalação em um clique validada; documentação atualizada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S5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12 a 18/10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E9 — Documento final do MVP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Atualizar este documento com o estado real de cada funcionalidade e entrega; incluir capturas do painel e do relatório; preparar apresentação de 10 minutos com demonstração ao vivo contra o conjunto de validação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Versão 2.0 deste documento em</w:t>
            </w:r>
            <w:r>
              <w:rPr>
                <w:color w:val="55604F"/>
                <w:sz w:val="20"/>
              </w:rPr>
              <w:t xml:space="preserve"> </w:t>
            </w:r>
            <w:r>
              <w:rPr>
                <w:color w:val="55604F"/>
                <w:sz w:val="20"/>
                <w:rStyle w:val="VerbatimChar"/>
              </w:rPr>
              <w:t xml:space="preserve">.docx</w:t>
            </w:r>
            <w:r>
              <w:rPr>
                <w:color w:val="55604F"/>
                <w:sz w:val="20"/>
              </w:rPr>
              <w:t xml:space="preserve"> </w:t>
            </w:r>
            <w:r>
              <w:rPr>
                <w:color w:val="55604F"/>
                <w:sz w:val="20"/>
              </w:rPr>
              <w:t xml:space="preserve">e</w:t>
            </w:r>
            <w:r>
              <w:rPr>
                <w:color w:val="55604F"/>
                <w:sz w:val="20"/>
              </w:rPr>
              <w:t xml:space="preserve"> </w:t>
            </w:r>
            <w:r>
              <w:rPr>
                <w:color w:val="55604F"/>
                <w:sz w:val="20"/>
                <w:rStyle w:val="VerbatimChar"/>
              </w:rPr>
              <w:t xml:space="preserve">.pdf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S6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19 a 20/10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Entrega final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Revisão final e envio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Documento entregue em 20/10/2026</w:t>
            </w:r>
          </w:p>
        </w:tc>
      </w:tr>
    </w:tbl>
    <w:bookmarkEnd w:id="31"/>
    <w:bookmarkStart w:id="32" w:name="marcos"/>
    <w:p>
      <w:pPr>
        <w:pStyle w:val="Heading2"/>
      </w:pPr>
      <w:r>
        <w:t xml:space="preserve">4.3 Marcos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Marco</w:t>
            </w:r>
          </w:p>
        </w:tc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Data</w:t>
            </w:r>
          </w:p>
        </w:tc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Critério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M1 — Série fechada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20/09/2026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Data de corte registrada e figuras regeradas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M2 — Dados depositados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27/09/2026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DOI emitido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M3 — Artigo submetido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04/10/2026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Protocolo da Reciis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M4 — MVP consolidado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11/10/2026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Suíte verde e instalação validada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M5 — Documento do MVP entregue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20/10/2026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Envio ao professor</w:t>
            </w:r>
          </w:p>
        </w:tc>
      </w:tr>
    </w:tbl>
    <w:bookmarkEnd w:id="32"/>
    <w:bookmarkStart w:id="33" w:name="definição-de-pronto"/>
    <w:p>
      <w:pPr>
        <w:pStyle w:val="Heading2"/>
      </w:pPr>
      <w:r>
        <w:t xml:space="preserve">4.4 Definição de pronto</w:t>
      </w:r>
    </w:p>
    <w:p>
      <w:pPr>
        <w:pStyle w:val="FirstParagraph"/>
      </w:pPr>
      <w:r>
        <w:t xml:space="preserve">Uma entrega está pronta quando: (a) os testes automatizados passam; (b) toda decisão que altere números publicáveis tem ADR; (c) o</w:t>
      </w:r>
      <w:r>
        <w:t xml:space="preserve"> </w:t>
      </w:r>
      <w:r>
        <w:rPr>
          <w:rStyle w:val="VerbatimChar"/>
        </w:rPr>
        <w:t xml:space="preserve">scripts/conferir_manuscritos.py</w:t>
      </w:r>
      <w:r>
        <w:t xml:space="preserve"> </w:t>
      </w:r>
      <w:r>
        <w:t xml:space="preserve">não acusa divergência entre as versões do manuscrito; (d) a documentação em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reflete o comportamento do código; (e) o resultado verificável da tabela 4.2 existe e pode ser mostrado.</w:t>
      </w:r>
    </w:p>
    <w:bookmarkEnd w:id="33"/>
    <w:bookmarkStart w:id="34" w:name="papéis"/>
    <w:p>
      <w:pPr>
        <w:pStyle w:val="Heading2"/>
      </w:pPr>
      <w:r>
        <w:t xml:space="preserve">4.5 Papéis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Papel</w:t>
            </w:r>
          </w:p>
        </w:tc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Responsável</w:t>
            </w:r>
          </w:p>
        </w:tc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Atribuições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Concepção, desenvolvimento, coleta, análise e redação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Thalles Ferreira Costa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Entregas E0 a E9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Revisão do manuscrito e das entregas da disciplina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Bruno de Araujo de Jesus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Atribuição a confirmar com o grupo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Revisão do manuscrito e das entregas da disciplina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Jonathas Batista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Atribuição a confirmar com o grupo</w:t>
            </w:r>
          </w:p>
        </w:tc>
      </w:tr>
    </w:tbl>
    <w:bookmarkEnd w:id="34"/>
    <w:bookmarkEnd w:id="35"/>
    <w:bookmarkStart w:id="36" w:name="riscos-e-mitigações"/>
    <w:p>
      <w:pPr>
        <w:pStyle w:val="Heading1"/>
      </w:pPr>
      <w:r>
        <w:t xml:space="preserve">5. Riscos e mitigações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Risco</w:t>
            </w:r>
          </w:p>
        </w:tc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Probabilidade</w:t>
            </w:r>
          </w:p>
        </w:tc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Impacto</w:t>
            </w:r>
          </w:p>
        </w:tc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Mitigação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Portal auditado bloqueia o ponto de observação (HTTP 403 ao runner do GitHub)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Ocorreu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Perda de série para uma plataforma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Braço brasileiro da coleta em IP residencial e sonda de vantagem em terceiro ponto (ADR 0009);</w:t>
            </w:r>
            <w:r>
              <w:rPr>
                <w:color w:val="55604F"/>
                <w:sz w:val="20"/>
              </w:rPr>
              <w:t xml:space="preserve"> </w:t>
            </w:r>
            <w:r>
              <w:rPr>
                <w:color w:val="55604F"/>
                <w:sz w:val="20"/>
              </w:rPr>
              <w:t xml:space="preserve">“sem veredito”</w:t>
            </w:r>
            <w:r>
              <w:rPr>
                <w:color w:val="55604F"/>
                <w:sz w:val="20"/>
              </w:rPr>
              <w:t xml:space="preserve"> </w:t>
            </w:r>
            <w:r>
              <w:rPr>
                <w:color w:val="55604F"/>
                <w:sz w:val="20"/>
              </w:rPr>
              <w:t xml:space="preserve">é valor representável, nunca convertido em conformidade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Atualização do axe-core muda o que é detectável e cria degrau na série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Média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Comparabilidade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axe-core vendorizado e fixado em 4.13.0; versão gravada em cada varredura; troca exige ADR e série nova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Mudança de parâmetros de custo (preço e franquia da oferta pré-paga)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Alta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Custo de acesso não comparável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Parâmetros datados no</w:t>
            </w:r>
            <w:r>
              <w:rPr>
                <w:color w:val="55604F"/>
                <w:sz w:val="20"/>
              </w:rPr>
              <w:t xml:space="preserve"> </w:t>
            </w:r>
            <w:r>
              <w:rPr>
                <w:color w:val="55604F"/>
                <w:sz w:val="20"/>
                <w:rStyle w:val="VerbatimChar"/>
              </w:rPr>
              <w:t xml:space="preserve">config_snapshot</w:t>
            </w:r>
            <w:r>
              <w:rPr>
                <w:color w:val="55604F"/>
                <w:sz w:val="20"/>
              </w:rPr>
              <w:t xml:space="preserve">; reavaliação registrada em ADR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Manuscrito ultrapassa 60 mil caracteres após a conversão para</w:t>
            </w:r>
            <w:r>
              <w:rPr>
                <w:b/>
                <w:color w:val="2E352E"/>
                <w:sz w:val="20"/>
              </w:rPr>
              <w:t xml:space="preserve"> </w:t>
            </w:r>
            <w:r>
              <w:rPr>
                <w:b/>
                <w:color w:val="2E352E"/>
                <w:sz w:val="20"/>
                <w:rStyle w:val="VerbatimChar"/>
              </w:rPr>
              <w:t xml:space="preserve">.docx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Média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Recusa na triagem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Margem de 16 caracteres; recontagem no editor prevista na E7; versão estendida disponível para periódico de limite maior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Depósito dos dados atrasa (repositório, DOI)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Média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Afirmação do artigo sobre depósito público fica falsa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Entrega E6b antes da submissão; a submissão (E7) depende de M2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Indisponibilidade prolongada de plataforma na janela final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Baixa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Perda mensurável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Falhas viram dado com</w:t>
            </w:r>
            <w:r>
              <w:rPr>
                <w:color w:val="55604F"/>
                <w:sz w:val="20"/>
              </w:rPr>
              <w:t xml:space="preserve"> </w:t>
            </w:r>
            <w:r>
              <w:rPr>
                <w:color w:val="55604F"/>
                <w:sz w:val="20"/>
                <w:rStyle w:val="VerbatimChar"/>
              </w:rPr>
              <w:t xml:space="preserve">loss_rate</w:t>
            </w:r>
            <w:r>
              <w:rPr>
                <w:color w:val="55604F"/>
                <w:sz w:val="20"/>
              </w:rPr>
              <w:t xml:space="preserve">; o método já trata o caso (§ 4.7 do manuscrito)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Dependência de uma única pessoa para todas as entregas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Alta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Atraso em caso de indisponibilidade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Documentação completa em</w:t>
            </w:r>
            <w:r>
              <w:rPr>
                <w:color w:val="55604F"/>
                <w:sz w:val="20"/>
              </w:rPr>
              <w:t xml:space="preserve"> </w:t>
            </w:r>
            <w:r>
              <w:rPr>
                <w:color w:val="55604F"/>
                <w:sz w:val="20"/>
                <w:rStyle w:val="VerbatimChar"/>
              </w:rPr>
              <w:t xml:space="preserve">docs/</w:t>
            </w:r>
            <w:r>
              <w:rPr>
                <w:color w:val="55604F"/>
                <w:sz w:val="20"/>
              </w:rPr>
              <w:t xml:space="preserve">, ADR,</w:t>
            </w:r>
            <w:r>
              <w:rPr>
                <w:color w:val="55604F"/>
                <w:sz w:val="20"/>
              </w:rPr>
              <w:t xml:space="preserve"> </w:t>
            </w:r>
            <w:r>
              <w:rPr>
                <w:color w:val="55604F"/>
                <w:sz w:val="20"/>
                <w:rStyle w:val="VerbatimChar"/>
              </w:rPr>
              <w:t xml:space="preserve">iniciar.bat</w:t>
            </w:r>
            <w:r>
              <w:rPr>
                <w:color w:val="55604F"/>
                <w:sz w:val="20"/>
              </w:rPr>
              <w:t xml:space="preserve"> </w:t>
            </w:r>
            <w:r>
              <w:rPr>
                <w:color w:val="55604F"/>
                <w:sz w:val="20"/>
              </w:rPr>
              <w:t xml:space="preserve">e suíte de testes permitem que outro membro reproduza e continue</w:t>
            </w:r>
          </w:p>
        </w:tc>
      </w:tr>
    </w:tbl>
    <w:bookmarkEnd w:id="36"/>
    <w:bookmarkStart w:id="37" w:name="glossário"/>
    <w:p>
      <w:pPr>
        <w:pStyle w:val="Heading1"/>
      </w:pPr>
      <w:r>
        <w:t xml:space="preserve">6. Glossário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Termo</w:t>
            </w:r>
          </w:p>
        </w:tc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Significado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WCAG 2.1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Web Content Accessibility Guidelines, versão 2.1, do W3C; níveis A, AA e AAA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LBI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Lei Brasileira de Inclusão da Pessoa com Deficiência, Lei 13.146/2015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eMAG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Modelo de Acessibilidade em Governo Eletrônico, versão 3.1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axe-core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Motor de regras de acessibilidade da Deque, de código aberto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Sonda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Verificação própria do projeto para o que o axe-core não alcança (interação, rede, legibilidade)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ICA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Índice de conformidade de acessibilidade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IAN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Índice de atrito de navegação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IEJ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Índice de exposição jurídica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Barreira absoluta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Violação crítica sem rota alternativa, que impede o uso do serviço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Custo de acesso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Bytes trafegados convertidos em fração da franquia e em reais, com parâmetros datados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Usuário periférico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Quem depende exclusivamente do sistema público de saúde e o acessa por conectividade precária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Cobertura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Fração dos critérios que o instrumento é capaz de verificar automaticamente; declarada em toda saída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ADR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Registro de decisão de arquitetura (Architecture Decision Record)</w:t>
            </w:r>
          </w:p>
        </w:tc>
      </w:tr>
      <w:tr>
        <w:tc>
          <w:tcPr>
            <w:shd w:val="clear" w:fill="EFF4ED"/>
          </w:tcPr>
          <w:p>
            <w:pPr>
              <w:pStyle w:val="Compact"/>
            </w:pPr>
            <w:r>
              <w:rPr>
                <w:b/>
                <w:color w:val="2E352E"/>
                <w:sz w:val="20"/>
              </w:rPr>
              <w:t xml:space="preserve">Série diária</w:t>
            </w:r>
          </w:p>
        </w:tc>
        <w:tc>
          <w:tcPr/>
          <w:p>
            <w:pPr>
              <w:pStyle w:val="Compact"/>
            </w:pPr>
            <w:r>
              <w:rPr>
                <w:color w:val="55604F"/>
                <w:sz w:val="20"/>
              </w:rPr>
              <w:t xml:space="preserve">Varredura repetida uma vez por dia das cinco plataformas, de 19/08/2026 em diante</w:t>
            </w:r>
          </w:p>
        </w:tc>
      </w:tr>
    </w:tbl>
    <w:bookmarkEnd w:id="37"/>
    <w:sectPr>
      <w:headerReference r:id="R780eec7d02cc4144" w:type="default"/>
      <w:footerReference r:id="Rab0345adef294de1" w:type="default"/>
      <w:pgSz w:h="16838" w:w="11906"/>
      <w:pgMar w:bottom="1440" w:footer="720" w:header="720" w:left="1440" w:right="1440" w:top="180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</w:pPr>
    <w:r>
      <w:rPr>
        <w:color w:val="8A9484"/>
        <w:sz w:val="18"/>
      </w:rPr>
      <w:fldChar w:fldCharType="begin"/>
    </w:r>
    <w:r>
      <w:rPr>
        <w:color w:val="8A9484"/>
        <w:sz w:val="18"/>
      </w:rPr>
      <w:instrText xml:space="preserve"> PAGE </w:instrText>
    </w:r>
    <w:r>
      <w:rPr>
        <w:color w:val="8A9484"/>
        <w:sz w:val="18"/>
      </w:rPr>
      <w:fldChar w:fldCharType="separate"/>
    </w:r>
    <w:r>
      <w:rPr>
        <w:color w:val="8A9484"/>
        <w:sz w:val="18"/>
      </w:rPr>
      <w:t>1</w:t>
    </w:r>
    <w:r>
      <w:rPr>
        <w:color w:val="8A9484"/>
        <w:sz w:val="18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rPr>
        <w:color w:val="8A9484"/>
        <w:sz w:val="18"/>
      </w:rPr>
      <w:t>Mapeamento do MVP: AcessiSaúde-Audit</w:t>
    </w:r>
  </w:p>
</w:hdr>
</file>

<file path=word/numbering.xml><?xml version="1.0" encoding="utf-8"?>
<w:numbering xmlns:w="http://schemas.openxmlformats.org/wordprocessingml/2006/main">
  <w:abstractNum w:abstractNumId="1">
    <w:lvl w:ilvl="0">
      <w:numFmt w:val="bullet"/>
      <w:lvlText w:val="•"/>
      <w:lvlJc w:val="left"/>
      <w:pPr>
        <w:ind w:hanging="360" w:left="567"/>
      </w:pPr>
      <w:rPr>
        <w:rFonts w:ascii="Symbol" w:hAnsi="Symbol"/>
      </w:rPr>
    </w:lvl>
  </w:abstractNum>
  <w:abstractNum w:abstractNumId="2">
    <w:lvl w:ilvl="0">
      <w:numFmt w:val="decimal"/>
      <w:lvlText w:val="%1."/>
      <w:lvlJc w:val="left"/>
      <w:pPr>
        <w:ind w:hanging="360" w:left="567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w="http://schemas.openxmlformats.org/wordprocessingml/2006/main">
  <w:style w:default="true" w:styleId="Normal" w:type="paragraph">
    <w:name w:val="Normal"/>
    <w:pPr>
      <w:spacing w:after="200" w:line="312" w:lineRule="auto"/>
      <w:jc w:val="both"/>
    </w:pPr>
    <w:rPr>
      <w:rFonts w:ascii="Calibri" w:hAnsi="Calibri"/>
      <w:color w:val="2E352E"/>
      <w:sz w:val="21"/>
    </w:rPr>
  </w:style>
  <w:style w:styleId="Heading1" w:type="paragraph">
    <w:name w:val="heading 1"/>
    <w:basedOn w:val="Normal"/>
    <w:pPr>
      <w:keepNext/>
      <w:keepLines/>
      <w:spacing w:after="200" w:before="480"/>
      <w:jc w:val="left"/>
      <w:outlineLvl w:val="0"/>
    </w:pPr>
    <w:rPr>
      <w:rFonts w:ascii="Calibri" w:hAnsi="Calibri"/>
      <w:b/>
      <w:color w:val="4A6741"/>
      <w:sz w:val="30"/>
    </w:rPr>
  </w:style>
  <w:style w:styleId="Heading2" w:type="paragraph">
    <w:name w:val="heading 2"/>
    <w:basedOn w:val="Normal"/>
    <w:pPr>
      <w:keepNext/>
      <w:keepLines/>
      <w:spacing w:after="140" w:before="320"/>
      <w:jc w:val="left"/>
      <w:outlineLvl w:val="1"/>
    </w:pPr>
    <w:rPr>
      <w:rFonts w:ascii="Calibri" w:hAnsi="Calibri"/>
      <w:b/>
      <w:color w:val="2E352E"/>
      <w:sz w:val="24"/>
    </w:rPr>
  </w:style>
  <w:style w:styleId="Title" w:type="paragraph">
    <w:name w:val="Title"/>
    <w:basedOn w:val="Normal"/>
    <w:next w:val="Normal"/>
    <w:pPr>
      <w:spacing w:after="120" w:before="0"/>
      <w:jc w:val="left"/>
    </w:pPr>
    <w:rPr>
      <w:b/>
      <w:color w:val="4A6741"/>
      <w:sz w:val="40"/>
    </w:rPr>
  </w:style>
  <w:style w:styleId="Subtitle" w:type="paragraph">
    <w:name w:val="Subtitle"/>
    <w:basedOn w:val="Normal"/>
    <w:next w:val="Normal"/>
    <w:pPr>
      <w:spacing w:after="480" w:before="0"/>
      <w:jc w:val="left"/>
    </w:pPr>
    <w:rPr>
      <w:color w:val="55604F"/>
      <w:sz w:val="22"/>
    </w:rPr>
  </w:style>
  <w:style w:styleId="Heading3" w:type="paragraph">
    <w:name w:val="heading 3"/>
    <w:basedOn w:val="Heading2"/>
    <w:pPr>
      <w:spacing w:after="100" w:before="240"/>
      <w:outlineLvl w:val="2"/>
    </w:pPr>
    <w:rPr>
      <w:sz w:val="22"/>
    </w:rPr>
  </w:style>
  <w:style w:styleId="BodyText" w:type="paragraph">
    <w:name w:val="Body Text"/>
    <w:basedOn w:val="Normal"/>
  </w:style>
  <w:style w:styleId="FirstParagraph" w:type="paragraph">
    <w:name w:val="First Paragraph"/>
    <w:basedOn w:val="Normal"/>
  </w:style>
  <w:style w:styleId="Compact" w:type="paragraph">
    <w:name w:val="Compact"/>
    <w:basedOn w:val="Normal"/>
    <w:pPr>
      <w:spacing w:after="60" w:before="60" w:line="276" w:lineRule="auto"/>
      <w:jc w:val="left"/>
    </w:pPr>
    <w:rPr>
      <w:sz w:val="20"/>
    </w:rPr>
  </w:style>
  <w:style w:styleId="TableCaption" w:type="paragraph">
    <w:name w:val="Table Caption"/>
    <w:basedOn w:val="Normal"/>
    <w:pPr>
      <w:keepNext/>
      <w:spacing w:after="60" w:before="120"/>
    </w:pPr>
    <w:rPr>
      <w:i/>
      <w:sz w:val="20"/>
    </w:rPr>
  </w:style>
  <w:style w:styleId="SourceCode" w:type="paragraph">
    <w:name w:val="Source Code"/>
    <w:basedOn w:val="Normal"/>
    <w:pPr>
      <w:spacing w:after="60" w:before="60" w:line="240" w:lineRule="auto"/>
      <w:jc w:val="left"/>
      <w:shd w:fill="EFF4ED" w:val="clear"/>
    </w:pPr>
    <w:rPr>
      <w:rFonts w:ascii="Consolas" w:hAnsi="Consolas"/>
      <w:sz w:val="18"/>
    </w:rPr>
  </w:style>
  <w:style w:styleId="VerbatimChar" w:type="character">
    <w:name w:val="Verbatim Char"/>
    <w:rPr>
      <w:rFonts w:ascii="Consolas" w:hAnsi="Consolas"/>
      <w:sz w:val="19"/>
    </w:rPr>
  </w:style>
  <w:style w:styleId="Table" w:type="table">
    <w:name w:val="Table"/>
    <w:tblPr>
      <w:tblW w:type="pct" w:w="5000"/>
      <w:tblBorders>
        <w:top w:color="4A6741" w:sz="12" w:val="single"/>
        <w:bottom w:color="4A6741" w:sz="12" w:val="single"/>
        <w:insideH w:color="D8E0D4" w:sz="4" w:val="single"/>
      </w:tblBorders>
      <w:tblCellMar>
        <w:left w:type="dxa" w:w="100"/>
        <w:right w:type="dxa" w:w="100"/>
      </w:tblCellMar>
    </w:tbl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780eec7d02cc4144" Target="header1.xml" Type="http://schemas.openxmlformats.org/officeDocument/2006/relationships/header" /><Relationship Id="Rab0345adef294de1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Mapeamento do MVP: AcessiSaúde-Audit</dc:title>
  <dc:creator/>
  <cp:keywords/>
  <dcterms:created xsi:type="dcterms:W3CDTF">2026-09-15T15:26:49Z</dcterms:created>
  <dcterms:modified xsi:type="dcterms:W3CDTF">2026-09-15T15:26:49Z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Escopo essencial, arquitetura tecnológica e plano de entregas da ferramenta computacional de auditoria contínua de acessibilidade web (WCAG 2.1 / LBI) para plataformas públicas de saúde</vt:lpwstr>
  </property>
</Properties>
</file>