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C06A9" w:rsidRDefault="00ED1D8A">
      <w:pPr>
        <w:pStyle w:val="Ttulo1"/>
      </w:pPr>
      <w:bookmarkStart w:id="0" w:name="_GoBack"/>
      <w:bookmarkEnd w:id="0"/>
      <w:r>
        <w:rPr>
          <w:rFonts w:ascii="Arial" w:eastAsia="Arial" w:hAnsi="Arial"/>
          <w:sz w:val="36"/>
        </w:rPr>
        <w:t>Propuesta 3</w:t>
      </w:r>
    </w:p>
    <w:p w:rsidR="00EC06A9" w:rsidRDefault="00ED1D8A">
      <w:r>
        <w:rPr>
          <w:b/>
        </w:rPr>
        <w:t>Statement of Work — Stellar Instawards</w:t>
      </w:r>
    </w:p>
    <w:p w:rsidR="00EC06A9" w:rsidRDefault="00ED1D8A">
      <w:r>
        <w:t>Nivelada contra ThalosFrontend + ThalosBackend main — September 2026</w:t>
      </w:r>
    </w:p>
    <w:p w:rsidR="00EC06A9" w:rsidRDefault="00ED1D8A">
      <w:pPr>
        <w:pStyle w:val="Ttulo2"/>
      </w:pPr>
      <w:r>
        <w:rPr>
          <w:rFonts w:ascii="Arial" w:eastAsia="Arial" w:hAnsi="Arial"/>
          <w:sz w:val="28"/>
        </w:rPr>
        <w:t>1. Project &amp; Team Information</w:t>
      </w:r>
    </w:p>
    <w:tbl>
      <w:tblPr>
        <w:tblStyle w:val="Tablaconcuadrcula"/>
        <w:tblW w:w="0" w:type="auto"/>
        <w:tblLook w:val="04A0" w:firstRow="1" w:lastRow="0" w:firstColumn="1" w:lastColumn="0" w:noHBand="0" w:noVBand="1"/>
      </w:tblPr>
      <w:tblGrid>
        <w:gridCol w:w="2815"/>
        <w:gridCol w:w="5815"/>
      </w:tblGrid>
      <w:tr w:rsidR="00EC06A9">
        <w:tc>
          <w:tcPr>
            <w:tcW w:w="3168" w:type="dxa"/>
            <w:shd w:val="clear" w:color="auto" w:fill="F3F3F3"/>
          </w:tcPr>
          <w:p w:rsidR="00EC06A9" w:rsidRDefault="00ED1D8A">
            <w:r>
              <w:rPr>
                <w:b/>
                <w:sz w:val="20"/>
              </w:rPr>
              <w:t>Field</w:t>
            </w:r>
          </w:p>
        </w:tc>
        <w:tc>
          <w:tcPr>
            <w:tcW w:w="6480" w:type="dxa"/>
            <w:shd w:val="clear" w:color="auto" w:fill="F3F3F3"/>
          </w:tcPr>
          <w:p w:rsidR="00EC06A9" w:rsidRDefault="00ED1D8A">
            <w:r>
              <w:rPr>
                <w:b/>
                <w:sz w:val="20"/>
              </w:rPr>
              <w:t>Value</w:t>
            </w:r>
          </w:p>
        </w:tc>
      </w:tr>
      <w:tr w:rsidR="00EC06A9">
        <w:tc>
          <w:tcPr>
            <w:tcW w:w="3168" w:type="dxa"/>
          </w:tcPr>
          <w:p w:rsidR="00EC06A9" w:rsidRDefault="00ED1D8A">
            <w:r>
              <w:rPr>
                <w:sz w:val="20"/>
              </w:rPr>
              <w:t>Project Name</w:t>
            </w:r>
          </w:p>
        </w:tc>
        <w:tc>
          <w:tcPr>
            <w:tcW w:w="6480" w:type="dxa"/>
          </w:tcPr>
          <w:p w:rsidR="00EC06A9" w:rsidRDefault="00ED1D8A">
            <w:r>
              <w:rPr>
                <w:sz w:val="20"/>
              </w:rPr>
              <w:t>Thalos</w:t>
            </w:r>
          </w:p>
        </w:tc>
      </w:tr>
      <w:tr w:rsidR="00EC06A9">
        <w:tc>
          <w:tcPr>
            <w:tcW w:w="3168" w:type="dxa"/>
          </w:tcPr>
          <w:p w:rsidR="00EC06A9" w:rsidRDefault="00ED1D8A">
            <w:r>
              <w:rPr>
                <w:sz w:val="20"/>
              </w:rPr>
              <w:t>Builder / Team Name</w:t>
            </w:r>
          </w:p>
        </w:tc>
        <w:tc>
          <w:tcPr>
            <w:tcW w:w="6480" w:type="dxa"/>
          </w:tcPr>
          <w:p w:rsidR="00EC06A9" w:rsidRDefault="00ED1D8A">
            <w:r>
              <w:rPr>
                <w:sz w:val="20"/>
              </w:rPr>
              <w:t>Manuel Jiménez Garro</w:t>
            </w:r>
          </w:p>
        </w:tc>
      </w:tr>
      <w:tr w:rsidR="00EC06A9">
        <w:tc>
          <w:tcPr>
            <w:tcW w:w="3168" w:type="dxa"/>
          </w:tcPr>
          <w:p w:rsidR="00EC06A9" w:rsidRDefault="00ED1D8A">
            <w:r>
              <w:rPr>
                <w:sz w:val="20"/>
              </w:rPr>
              <w:t>Primary Contact</w:t>
            </w:r>
          </w:p>
        </w:tc>
        <w:tc>
          <w:tcPr>
            <w:tcW w:w="6480" w:type="dxa"/>
          </w:tcPr>
          <w:p w:rsidR="00EC06A9" w:rsidRDefault="00ED1D8A">
            <w:r>
              <w:rPr>
                <w:sz w:val="20"/>
              </w:rPr>
              <w:t>thalosinfrastructure@gmail.com</w:t>
            </w:r>
          </w:p>
        </w:tc>
      </w:tr>
      <w:tr w:rsidR="00EC06A9">
        <w:tc>
          <w:tcPr>
            <w:tcW w:w="3168" w:type="dxa"/>
          </w:tcPr>
          <w:p w:rsidR="00EC06A9" w:rsidRDefault="00ED1D8A">
            <w:r>
              <w:rPr>
                <w:sz w:val="20"/>
              </w:rPr>
              <w:t>Ambassador Chapter</w:t>
            </w:r>
          </w:p>
        </w:tc>
        <w:tc>
          <w:tcPr>
            <w:tcW w:w="6480" w:type="dxa"/>
          </w:tcPr>
          <w:p w:rsidR="00EC06A9" w:rsidRDefault="00ED1D8A">
            <w:r>
              <w:rPr>
                <w:sz w:val="20"/>
              </w:rPr>
              <w:t>Costa Rica</w:t>
            </w:r>
          </w:p>
        </w:tc>
      </w:tr>
      <w:tr w:rsidR="00EC06A9">
        <w:tc>
          <w:tcPr>
            <w:tcW w:w="3168" w:type="dxa"/>
          </w:tcPr>
          <w:p w:rsidR="00EC06A9" w:rsidRDefault="00ED1D8A">
            <w:r>
              <w:rPr>
                <w:sz w:val="20"/>
              </w:rPr>
              <w:t>Ambassador Chapter Lead</w:t>
            </w:r>
          </w:p>
        </w:tc>
        <w:tc>
          <w:tcPr>
            <w:tcW w:w="6480" w:type="dxa"/>
          </w:tcPr>
          <w:p w:rsidR="00EC06A9" w:rsidRDefault="00ED1D8A">
            <w:r>
              <w:rPr>
                <w:sz w:val="20"/>
              </w:rPr>
              <w:t>Alejandra Vargas</w:t>
            </w:r>
          </w:p>
        </w:tc>
      </w:tr>
      <w:tr w:rsidR="00EC06A9">
        <w:tc>
          <w:tcPr>
            <w:tcW w:w="3168" w:type="dxa"/>
          </w:tcPr>
          <w:p w:rsidR="00EC06A9" w:rsidRDefault="00ED1D8A">
            <w:r>
              <w:rPr>
                <w:sz w:val="20"/>
              </w:rPr>
              <w:t>Date Submitted</w:t>
            </w:r>
          </w:p>
        </w:tc>
        <w:tc>
          <w:tcPr>
            <w:tcW w:w="6480" w:type="dxa"/>
          </w:tcPr>
          <w:p w:rsidR="00EC06A9" w:rsidRDefault="00ED1D8A">
            <w:r>
              <w:rPr>
                <w:sz w:val="20"/>
              </w:rPr>
              <w:t>September 2026</w:t>
            </w:r>
          </w:p>
        </w:tc>
      </w:tr>
      <w:tr w:rsidR="00EC06A9">
        <w:tc>
          <w:tcPr>
            <w:tcW w:w="3168" w:type="dxa"/>
          </w:tcPr>
          <w:p w:rsidR="00EC06A9" w:rsidRDefault="00ED1D8A">
            <w:r>
              <w:rPr>
                <w:sz w:val="20"/>
              </w:rPr>
              <w:t>Suggested Sprint Start Date</w:t>
            </w:r>
          </w:p>
        </w:tc>
        <w:tc>
          <w:tcPr>
            <w:tcW w:w="6480" w:type="dxa"/>
          </w:tcPr>
          <w:p w:rsidR="00EC06A9" w:rsidRDefault="00ED1D8A">
            <w:r>
              <w:rPr>
                <w:sz w:val="20"/>
              </w:rPr>
              <w:t>September 8th, 2026</w:t>
            </w:r>
          </w:p>
        </w:tc>
      </w:tr>
    </w:tbl>
    <w:p w:rsidR="00EC06A9" w:rsidRDefault="00EC06A9"/>
    <w:p w:rsidR="00EC06A9" w:rsidRDefault="00ED1D8A">
      <w:pPr>
        <w:pStyle w:val="Ttulo2"/>
      </w:pPr>
      <w:r>
        <w:rPr>
          <w:rFonts w:ascii="Arial" w:eastAsia="Arial" w:hAnsi="Arial"/>
          <w:sz w:val="28"/>
        </w:rPr>
        <w:t>3. Problem Statement &amp; Objective</w:t>
      </w:r>
    </w:p>
    <w:p w:rsidR="00EC06A9" w:rsidRDefault="00ED1D8A">
      <w:pPr>
        <w:pStyle w:val="Ttulo3"/>
      </w:pPr>
      <w:r>
        <w:rPr>
          <w:rFonts w:ascii="Arial" w:eastAsia="Arial" w:hAnsi="Arial"/>
          <w:sz w:val="24"/>
        </w:rPr>
        <w:t>Problem Being Addressed</w:t>
      </w:r>
    </w:p>
    <w:p w:rsidR="00EC06A9" w:rsidRDefault="00ED1D8A">
      <w:r>
        <w:t xml:space="preserve">Thalos is a </w:t>
      </w:r>
      <w:r>
        <w:t>non-custodial, milestone-based escrow platform for service agreements on Stellar, built on Trustless Work. The core Nest modules and frontend clients already exist (agreements, wallets, disputes, notifications, profiles, opportunities). Contributor waves a</w:t>
      </w:r>
      <w:r>
        <w:t>lso shipped Connect-facing surface area.</w:t>
      </w:r>
    </w:p>
    <w:p w:rsidR="00EC06A9" w:rsidRDefault="00ED1D8A">
      <w:r>
        <w:t>What is still missing is a single, demonstrably complete money path that a reviewer can trust:</w:t>
      </w:r>
    </w:p>
    <w:p w:rsidR="00EC06A9" w:rsidRDefault="00ED1D8A">
      <w:r>
        <w:rPr>
          <w:b/>
        </w:rPr>
        <w:t>create agreement → fund escrow → approve milestone → release funds → open/resolve one dispute</w:t>
      </w:r>
    </w:p>
    <w:p w:rsidR="00EC06A9" w:rsidRDefault="00ED1D8A">
      <w:r>
        <w:t>with clear transaction fee</w:t>
      </w:r>
      <w:r>
        <w:t>dback, recoverable failure states, consistent network/asset configuration across both repositories, and an operable schema/migration baseline.</w:t>
      </w:r>
    </w:p>
    <w:p w:rsidR="00EC06A9" w:rsidRDefault="00ED1D8A">
      <w:r>
        <w:rPr>
          <w:b/>
        </w:rPr>
        <w:t>Repo-grounded gaps (verified on main):</w:t>
      </w:r>
    </w:p>
    <w:p w:rsidR="00EC06A9" w:rsidRDefault="00ED1D8A">
      <w:pPr>
        <w:pStyle w:val="Listaconvietas"/>
      </w:pPr>
      <w:r>
        <w:t>Escrow write cutover incomplete. Reads already default to Nest; writes (cr</w:t>
      </w:r>
      <w:r>
        <w:t>eate / fund / approve / release / dispute / sendTransaction) still default to the legacy direct Trustless Work path via NEXT_PUBLIC_ESCROW_MIGRATION_* flags.</w:t>
      </w:r>
    </w:p>
    <w:p w:rsidR="00EC06A9" w:rsidRDefault="00ED1D8A">
      <w:pPr>
        <w:pStyle w:val="Listaconvietas"/>
      </w:pPr>
      <w:r>
        <w:t>USDC issuer hard-coded to testnet in the frontend (lib/config.ts) and duplicated in the business d</w:t>
      </w:r>
      <w:r>
        <w:t>ashboard; backend escrow-write also falls back to the same testnet issuer unless TRUSTLINE_USDC_ADDRESS is set.</w:t>
      </w:r>
    </w:p>
    <w:p w:rsidR="00EC06A9" w:rsidRDefault="00ED1D8A">
      <w:pPr>
        <w:pStyle w:val="Listaconvietas"/>
      </w:pPr>
      <w:r>
        <w:t>Network naming inconsistent across repos (frontend MAINNET/TESTNET vs backend testnet/mainnet), so a mainnet flip is still a multi-file risk.</w:t>
      </w:r>
    </w:p>
    <w:p w:rsidR="00EC06A9" w:rsidRDefault="00ED1D8A">
      <w:pPr>
        <w:pStyle w:val="Listaconvietas"/>
      </w:pPr>
      <w:r>
        <w:t>No</w:t>
      </w:r>
      <w:r>
        <w:t xml:space="preserve"> readiness /health endpoint (Nest root only returns name/docs).</w:t>
      </w:r>
    </w:p>
    <w:p w:rsidR="00EC06A9" w:rsidRDefault="00ED1D8A">
      <w:pPr>
        <w:pStyle w:val="Listaconvietas"/>
      </w:pPr>
      <w:r>
        <w:lastRenderedPageBreak/>
        <w:t>SQL migrations live as numbered scripts/ files with no applied-state runner — the same class of schema-drift risk that has already broken production login when code shipped ahead of schema.</w:t>
      </w:r>
    </w:p>
    <w:p w:rsidR="00EC06A9" w:rsidRDefault="00ED1D8A">
      <w:pPr>
        <w:pStyle w:val="Ttulo3"/>
      </w:pPr>
      <w:r>
        <w:rPr>
          <w:rFonts w:ascii="Arial" w:eastAsia="Arial" w:hAnsi="Arial"/>
          <w:sz w:val="24"/>
        </w:rPr>
        <w:t>Objective of This Instaward</w:t>
      </w:r>
    </w:p>
    <w:p w:rsidR="00EC06A9" w:rsidRDefault="00ED1D8A">
      <w:r>
        <w:t>Close and harden the Thalos end-to-end escrow money path, finish the Nest write cutover for the core lifecycle, make network/asset selection one validated switch shared by both repos, and prove the flow with verifiable Stellar t</w:t>
      </w:r>
      <w:r>
        <w:t>ransactions (full dress rehearsal on testnet + one controlled team run on mainnet).</w:t>
      </w:r>
    </w:p>
    <w:p w:rsidR="00EC06A9" w:rsidRDefault="00ED1D8A">
      <w:r>
        <w:t>This Instaward is not a public launch and does not claim a real-user cohort. Thalos Connect / opportunities / GitHub-evidence expansion are intentionally out of scope.</w:t>
      </w:r>
    </w:p>
    <w:p w:rsidR="00EC06A9" w:rsidRDefault="00ED1D8A">
      <w:pPr>
        <w:pStyle w:val="Ttulo2"/>
      </w:pPr>
      <w:r>
        <w:rPr>
          <w:rFonts w:ascii="Arial" w:eastAsia="Arial" w:hAnsi="Arial"/>
          <w:sz w:val="28"/>
        </w:rPr>
        <w:t xml:space="preserve">4. </w:t>
      </w:r>
      <w:r>
        <w:rPr>
          <w:rFonts w:ascii="Arial" w:eastAsia="Arial" w:hAnsi="Arial"/>
          <w:sz w:val="28"/>
        </w:rPr>
        <w:t>Scope of Work (30-Day Deliverables)</w:t>
      </w:r>
    </w:p>
    <w:p w:rsidR="00EC06A9" w:rsidRDefault="00ED1D8A">
      <w:pPr>
        <w:pStyle w:val="Ttulo3"/>
      </w:pPr>
      <w:r>
        <w:rPr>
          <w:rFonts w:ascii="Arial" w:eastAsia="Arial" w:hAnsi="Arial"/>
          <w:sz w:val="24"/>
        </w:rPr>
        <w:t>4.1 In-Scope Deliverables</w:t>
      </w:r>
    </w:p>
    <w:tbl>
      <w:tblPr>
        <w:tblStyle w:val="Tablaconcuadrcula"/>
        <w:tblW w:w="0" w:type="auto"/>
        <w:tblLook w:val="04A0" w:firstRow="1" w:lastRow="0" w:firstColumn="1" w:lastColumn="0" w:noHBand="0" w:noVBand="1"/>
      </w:tblPr>
      <w:tblGrid>
        <w:gridCol w:w="2246"/>
        <w:gridCol w:w="4282"/>
        <w:gridCol w:w="2328"/>
      </w:tblGrid>
      <w:tr w:rsidR="00EC06A9">
        <w:tc>
          <w:tcPr>
            <w:tcW w:w="2592" w:type="dxa"/>
            <w:shd w:val="clear" w:color="auto" w:fill="F3F3F3"/>
          </w:tcPr>
          <w:p w:rsidR="00EC06A9" w:rsidRDefault="00ED1D8A">
            <w:r>
              <w:rPr>
                <w:b/>
                <w:sz w:val="20"/>
              </w:rPr>
              <w:t>Deliverable</w:t>
            </w:r>
          </w:p>
        </w:tc>
        <w:tc>
          <w:tcPr>
            <w:tcW w:w="4608" w:type="dxa"/>
            <w:shd w:val="clear" w:color="auto" w:fill="F3F3F3"/>
          </w:tcPr>
          <w:p w:rsidR="00EC06A9" w:rsidRDefault="00ED1D8A">
            <w:r>
              <w:rPr>
                <w:b/>
                <w:sz w:val="20"/>
              </w:rPr>
              <w:t>Description</w:t>
            </w:r>
          </w:p>
        </w:tc>
        <w:tc>
          <w:tcPr>
            <w:tcW w:w="2880" w:type="dxa"/>
            <w:shd w:val="clear" w:color="auto" w:fill="F3F3F3"/>
          </w:tcPr>
          <w:p w:rsidR="00EC06A9" w:rsidRDefault="00ED1D8A">
            <w:r>
              <w:rPr>
                <w:b/>
                <w:sz w:val="20"/>
              </w:rPr>
              <w:t>Why this matters</w:t>
            </w:r>
          </w:p>
        </w:tc>
      </w:tr>
      <w:tr w:rsidR="00EC06A9">
        <w:tc>
          <w:tcPr>
            <w:tcW w:w="2592" w:type="dxa"/>
          </w:tcPr>
          <w:p w:rsidR="00EC06A9" w:rsidRDefault="00ED1D8A">
            <w:r>
              <w:rPr>
                <w:sz w:val="20"/>
              </w:rPr>
              <w:t>D1 — Close the end-to-end escrow flow (product)</w:t>
            </w:r>
          </w:p>
        </w:tc>
        <w:tc>
          <w:tcPr>
            <w:tcW w:w="4608" w:type="dxa"/>
          </w:tcPr>
          <w:p w:rsidR="00EC06A9" w:rsidRDefault="00ED1D8A">
            <w:r>
              <w:rPr>
                <w:sz w:val="20"/>
              </w:rPr>
              <w:t>Make the full lifecycle work as one reliable path: agreement creation → escrow funding → milestone appro</w:t>
            </w:r>
            <w:r>
              <w:rPr>
                <w:sz w:val="20"/>
              </w:rPr>
              <w:t>val → fund release → one dispute open/resolve path.</w:t>
            </w:r>
            <w:r>
              <w:rPr>
                <w:sz w:val="20"/>
              </w:rPr>
              <w:br/>
            </w:r>
            <w:r>
              <w:rPr>
                <w:sz w:val="20"/>
              </w:rPr>
              <w:br/>
              <w:t xml:space="preserve">In-repo work: complete Nest write cutover for createAgreement, fundEscrow, approveMilestone, releaseFunds, disputeMilestone, sendTransaction (one flag at a time); pending→submitted→confirmed/failed with </w:t>
            </w:r>
            <w:r>
              <w:rPr>
                <w:sz w:val="20"/>
              </w:rPr>
              <w:t>hash; recoverable failure UI states; mocked-agreement toggles off.</w:t>
            </w:r>
          </w:p>
        </w:tc>
        <w:tc>
          <w:tcPr>
            <w:tcW w:w="2880" w:type="dxa"/>
          </w:tcPr>
          <w:p w:rsidR="00EC06A9" w:rsidRDefault="00ED1D8A">
            <w:r>
              <w:rPr>
                <w:sz w:val="20"/>
              </w:rPr>
              <w:t>The modules exist, but the money path is still split across Nest reads and legacy write defaults. Closing that gap is the difference between “features exist” and “a user can trust their mon</w:t>
            </w:r>
            <w:r>
              <w:rPr>
                <w:sz w:val="20"/>
              </w:rPr>
              <w:t>ey moved.”</w:t>
            </w:r>
          </w:p>
        </w:tc>
      </w:tr>
      <w:tr w:rsidR="00EC06A9">
        <w:tc>
          <w:tcPr>
            <w:tcW w:w="2592" w:type="dxa"/>
          </w:tcPr>
          <w:p w:rsidR="00EC06A9" w:rsidRDefault="00ED1D8A">
            <w:r>
              <w:rPr>
                <w:sz w:val="20"/>
              </w:rPr>
              <w:t>D2 — Network-switchable configuration + operations baseline</w:t>
            </w:r>
          </w:p>
        </w:tc>
        <w:tc>
          <w:tcPr>
            <w:tcW w:w="4608" w:type="dxa"/>
          </w:tcPr>
          <w:p w:rsidR="00EC06A9" w:rsidRDefault="00ED1D8A">
            <w:r>
              <w:rPr>
                <w:sz w:val="20"/>
              </w:rPr>
              <w:t>One canonical network variable across both repos; USDC issuer in per-network config (remove hard-coded testnet issuer from lib/config.ts and business dashboard); fail-fast startup vali</w:t>
            </w:r>
            <w:r>
              <w:rPr>
                <w:sz w:val="20"/>
              </w:rPr>
              <w:t>dation; migration applied-state tracking over scripts/; /health readiness (DB, Trustless Work, resolved network).</w:t>
            </w:r>
          </w:p>
        </w:tc>
        <w:tc>
          <w:tcPr>
            <w:tcW w:w="2880" w:type="dxa"/>
          </w:tcPr>
          <w:p w:rsidR="00EC06A9" w:rsidRDefault="00ED1D8A">
            <w:r>
              <w:rPr>
                <w:sz w:val="20"/>
              </w:rPr>
              <w:t>Turns “switch to mainnet” into flipping one validated setting per deploy, and prevents the schema-ahead-of-migration class of outage.</w:t>
            </w:r>
          </w:p>
        </w:tc>
      </w:tr>
      <w:tr w:rsidR="00EC06A9">
        <w:tc>
          <w:tcPr>
            <w:tcW w:w="2592" w:type="dxa"/>
          </w:tcPr>
          <w:p w:rsidR="00EC06A9" w:rsidRDefault="00ED1D8A">
            <w:r>
              <w:rPr>
                <w:sz w:val="20"/>
              </w:rPr>
              <w:t xml:space="preserve">D3 — </w:t>
            </w:r>
            <w:r>
              <w:rPr>
                <w:sz w:val="20"/>
              </w:rPr>
              <w:t>Verified end-to-end validation + documentation</w:t>
            </w:r>
          </w:p>
        </w:tc>
        <w:tc>
          <w:tcPr>
            <w:tcW w:w="4608" w:type="dxa"/>
          </w:tcPr>
          <w:p w:rsidR="00EC06A9" w:rsidRDefault="00ED1D8A">
            <w:r>
              <w:rPr>
                <w:sz w:val="20"/>
              </w:rPr>
              <w:t>Full acceptance checklist on testnet (hash per on-chain step), then one controlled team mainnet run with minimal real USDC. Deliver: checklist, demo video, user flow doc, operations runbook.</w:t>
            </w:r>
          </w:p>
        </w:tc>
        <w:tc>
          <w:tcPr>
            <w:tcW w:w="2880" w:type="dxa"/>
          </w:tcPr>
          <w:p w:rsidR="00EC06A9" w:rsidRDefault="00ED1D8A">
            <w:r>
              <w:rPr>
                <w:sz w:val="20"/>
              </w:rPr>
              <w:t>Makes “done” objec</w:t>
            </w:r>
            <w:r>
              <w:rPr>
                <w:sz w:val="20"/>
              </w:rPr>
              <w:t>tive. At day 30 anyone can verify completion without reading code.</w:t>
            </w:r>
          </w:p>
        </w:tc>
      </w:tr>
    </w:tbl>
    <w:p w:rsidR="00EC06A9" w:rsidRDefault="00EC06A9"/>
    <w:p w:rsidR="00EC06A9" w:rsidRDefault="00ED1D8A">
      <w:pPr>
        <w:pStyle w:val="Ttulo3"/>
      </w:pPr>
      <w:r>
        <w:rPr>
          <w:rFonts w:ascii="Arial" w:eastAsia="Arial" w:hAnsi="Arial"/>
          <w:sz w:val="24"/>
        </w:rPr>
        <w:t>Acceptance checklist — Definition of Done for D3</w:t>
      </w:r>
    </w:p>
    <w:p w:rsidR="00EC06A9" w:rsidRDefault="00ED1D8A">
      <w:pPr>
        <w:pStyle w:val="Listaconvietas"/>
      </w:pPr>
      <w:r>
        <w:t>Create agreement → persisted and visible to both parties</w:t>
      </w:r>
    </w:p>
    <w:p w:rsidR="00EC06A9" w:rsidRDefault="00ED1D8A">
      <w:pPr>
        <w:pStyle w:val="Listaconvietas"/>
      </w:pPr>
      <w:r>
        <w:t>Fund escrow → hash shown, confirmed on-chain</w:t>
      </w:r>
    </w:p>
    <w:p w:rsidR="00EC06A9" w:rsidRDefault="00ED1D8A">
      <w:pPr>
        <w:pStyle w:val="Listaconvietas"/>
      </w:pPr>
      <w:r>
        <w:t>Approve milestone → UI + on-chain st</w:t>
      </w:r>
      <w:r>
        <w:t>ate transition</w:t>
      </w:r>
    </w:p>
    <w:p w:rsidR="00EC06A9" w:rsidRDefault="00ED1D8A">
      <w:pPr>
        <w:pStyle w:val="Listaconvietas"/>
      </w:pPr>
      <w:r>
        <w:t>Release funds → hash shown, recipient balance changes</w:t>
      </w:r>
    </w:p>
    <w:p w:rsidR="00EC06A9" w:rsidRDefault="00ED1D8A">
      <w:pPr>
        <w:pStyle w:val="Listaconvietas"/>
      </w:pPr>
      <w:r>
        <w:t>Open + resolve one dispute → UI + on-chain resolution</w:t>
      </w:r>
    </w:p>
    <w:p w:rsidR="00EC06A9" w:rsidRDefault="00ED1D8A">
      <w:pPr>
        <w:pStyle w:val="Listaconvietas"/>
      </w:pPr>
      <w:r>
        <w:lastRenderedPageBreak/>
        <w:t>Each step shows pending/confirmed/failed feedback with hash</w:t>
      </w:r>
    </w:p>
    <w:p w:rsidR="00EC06A9" w:rsidRDefault="00ED1D8A">
      <w:pPr>
        <w:pStyle w:val="Listaconvietas"/>
      </w:pPr>
      <w:r>
        <w:t>Each listed failure path shows a recoverable UI state</w:t>
      </w:r>
    </w:p>
    <w:p w:rsidR="00EC06A9" w:rsidRDefault="00ED1D8A">
      <w:pPr>
        <w:pStyle w:val="Listaconvietas"/>
      </w:pPr>
      <w:r>
        <w:t>Full checklist pass</w:t>
      </w:r>
      <w:r>
        <w:t>es on testnet (hashes captured)</w:t>
      </w:r>
    </w:p>
    <w:p w:rsidR="00EC06A9" w:rsidRDefault="00ED1D8A">
      <w:pPr>
        <w:pStyle w:val="Listaconvietas"/>
      </w:pPr>
      <w:r>
        <w:t>Full checklist passes once on mainnet in a controlled team run (hashes captured)</w:t>
      </w:r>
    </w:p>
    <w:p w:rsidR="00EC06A9" w:rsidRDefault="00ED1D8A">
      <w:pPr>
        <w:pStyle w:val="Listaconvietas"/>
      </w:pPr>
      <w:r>
        <w:t>/health returns green and reports the resolved network on the deployed environment</w:t>
      </w:r>
    </w:p>
    <w:p w:rsidR="00EC06A9" w:rsidRDefault="00ED1D8A">
      <w:pPr>
        <w:pStyle w:val="Listaconvietas"/>
      </w:pPr>
      <w:r>
        <w:t xml:space="preserve">Migration applied-state tracking works cleanly from a known </w:t>
      </w:r>
      <w:r>
        <w:t>baseline</w:t>
      </w:r>
    </w:p>
    <w:p w:rsidR="00EC06A9" w:rsidRDefault="00ED1D8A">
      <w:pPr>
        <w:pStyle w:val="Ttulo3"/>
      </w:pPr>
      <w:r>
        <w:rPr>
          <w:rFonts w:ascii="Arial" w:eastAsia="Arial" w:hAnsi="Arial"/>
          <w:sz w:val="24"/>
        </w:rPr>
        <w:t>Out-of-Scope (Explicitly Not Included)</w:t>
      </w:r>
    </w:p>
    <w:p w:rsidR="00EC06A9" w:rsidRDefault="00ED1D8A">
      <w:pPr>
        <w:pStyle w:val="Listaconvietas"/>
      </w:pPr>
      <w:r>
        <w:t>Thalos Connect directory expansion, opportunities marketplace growth, and GitHub-backed milestone evidence backend completion.</w:t>
      </w:r>
    </w:p>
    <w:p w:rsidR="00EC06A9" w:rsidRDefault="00ED1D8A">
      <w:pPr>
        <w:pStyle w:val="Listaconvietas"/>
      </w:pPr>
      <w:r>
        <w:t>Fiat on/off-ramp / Stellar anchors (third-party onboarding outside a 30-day guara</w:t>
      </w:r>
      <w:r>
        <w:t>ntee).</w:t>
      </w:r>
    </w:p>
    <w:p w:rsidR="00EC06A9" w:rsidRDefault="00ED1D8A">
      <w:pPr>
        <w:pStyle w:val="Listaconvietas"/>
      </w:pPr>
      <w:r>
        <w:t>Participant role canonicalization / “I’m Paying vs Getting Paid” perspective UX.</w:t>
      </w:r>
    </w:p>
    <w:p w:rsidR="00EC06A9" w:rsidRDefault="00ED1D8A">
      <w:pPr>
        <w:pStyle w:val="Listaconvietas"/>
      </w:pPr>
      <w:r>
        <w:t>Real-user recruitment / public launch cohort.</w:t>
      </w:r>
    </w:p>
    <w:p w:rsidR="00EC06A9" w:rsidRDefault="00ED1D8A">
      <w:pPr>
        <w:pStyle w:val="Listaconvietas"/>
      </w:pPr>
      <w:r>
        <w:t>New agreement types, new dispute mechanics, new payment rails.</w:t>
      </w:r>
    </w:p>
    <w:p w:rsidR="00EC06A9" w:rsidRDefault="00ED1D8A">
      <w:pPr>
        <w:pStyle w:val="Listaconvietas"/>
      </w:pPr>
      <w:r>
        <w:t xml:space="preserve">Formal third-party security audit; Thalos stays </w:t>
      </w:r>
      <w:r>
        <w:t>non-custodial.</w:t>
      </w:r>
    </w:p>
    <w:p w:rsidR="00EC06A9" w:rsidRDefault="00ED1D8A">
      <w:pPr>
        <w:pStyle w:val="Ttulo3"/>
      </w:pPr>
      <w:r>
        <w:rPr>
          <w:rFonts w:ascii="Arial" w:eastAsia="Arial" w:hAnsi="Arial"/>
          <w:sz w:val="24"/>
        </w:rPr>
        <w:t>4.2 Deliverable-Aligned Budget Request</w:t>
      </w:r>
    </w:p>
    <w:tbl>
      <w:tblPr>
        <w:tblStyle w:val="Tablaconcuadrcula"/>
        <w:tblW w:w="0" w:type="auto"/>
        <w:tblLook w:val="04A0" w:firstRow="1" w:lastRow="0" w:firstColumn="1" w:lastColumn="0" w:noHBand="0" w:noVBand="1"/>
      </w:tblPr>
      <w:tblGrid>
        <w:gridCol w:w="2944"/>
        <w:gridCol w:w="5912"/>
      </w:tblGrid>
      <w:tr w:rsidR="00EC06A9">
        <w:tc>
          <w:tcPr>
            <w:tcW w:w="3168" w:type="dxa"/>
            <w:shd w:val="clear" w:color="auto" w:fill="F3F3F3"/>
          </w:tcPr>
          <w:p w:rsidR="00EC06A9" w:rsidRDefault="00ED1D8A">
            <w:r>
              <w:rPr>
                <w:b/>
                <w:sz w:val="20"/>
              </w:rPr>
              <w:t>Field</w:t>
            </w:r>
          </w:p>
        </w:tc>
        <w:tc>
          <w:tcPr>
            <w:tcW w:w="6480" w:type="dxa"/>
            <w:shd w:val="clear" w:color="auto" w:fill="F3F3F3"/>
          </w:tcPr>
          <w:p w:rsidR="00EC06A9" w:rsidRDefault="00ED1D8A">
            <w:r>
              <w:rPr>
                <w:b/>
                <w:sz w:val="20"/>
              </w:rPr>
              <w:t>Value</w:t>
            </w:r>
          </w:p>
        </w:tc>
      </w:tr>
      <w:tr w:rsidR="00EC06A9">
        <w:tc>
          <w:tcPr>
            <w:tcW w:w="3168" w:type="dxa"/>
          </w:tcPr>
          <w:p w:rsidR="00EC06A9" w:rsidRDefault="00ED1D8A">
            <w:r>
              <w:rPr>
                <w:sz w:val="20"/>
              </w:rPr>
              <w:t>Requested Budget Amount</w:t>
            </w:r>
          </w:p>
        </w:tc>
        <w:tc>
          <w:tcPr>
            <w:tcW w:w="6480" w:type="dxa"/>
          </w:tcPr>
          <w:p w:rsidR="00EC06A9" w:rsidRDefault="00ED1D8A">
            <w:r>
              <w:rPr>
                <w:sz w:val="20"/>
              </w:rPr>
              <w:t>USD $5,000</w:t>
            </w:r>
          </w:p>
        </w:tc>
      </w:tr>
      <w:tr w:rsidR="00EC06A9">
        <w:tc>
          <w:tcPr>
            <w:tcW w:w="3168" w:type="dxa"/>
          </w:tcPr>
          <w:p w:rsidR="00EC06A9" w:rsidRDefault="00ED1D8A">
            <w:r>
              <w:rPr>
                <w:sz w:val="20"/>
              </w:rPr>
              <w:t>Rationale</w:t>
            </w:r>
          </w:p>
        </w:tc>
        <w:tc>
          <w:tcPr>
            <w:tcW w:w="6480" w:type="dxa"/>
          </w:tcPr>
          <w:p w:rsidR="00EC06A9" w:rsidRDefault="00ED1D8A">
            <w:r>
              <w:rPr>
                <w:sz w:val="20"/>
              </w:rPr>
              <w:t xml:space="preserve">Finishing and hardening existing functionality across two production repositories, Nest write cutover, network/asset unification, ops baseline </w:t>
            </w:r>
            <w:r>
              <w:rPr>
                <w:sz w:val="20"/>
              </w:rPr>
              <w:t>(/health + migrations), testnet dress rehearsal, one controlled mainnet run (minimal USDC + fees), demo video, and docs. No greenfield product verticals.</w:t>
            </w:r>
          </w:p>
        </w:tc>
      </w:tr>
    </w:tbl>
    <w:p w:rsidR="00EC06A9" w:rsidRDefault="00EC06A9"/>
    <w:p w:rsidR="00EC06A9" w:rsidRDefault="00ED1D8A">
      <w:pPr>
        <w:pStyle w:val="Ttulo2"/>
      </w:pPr>
      <w:r>
        <w:rPr>
          <w:rFonts w:ascii="Arial" w:eastAsia="Arial" w:hAnsi="Arial"/>
          <w:sz w:val="28"/>
        </w:rPr>
        <w:t>5. 30-Day Execution Plan &amp; Timeline</w:t>
      </w:r>
    </w:p>
    <w:tbl>
      <w:tblPr>
        <w:tblStyle w:val="Tablaconcuadrcula"/>
        <w:tblW w:w="0" w:type="auto"/>
        <w:tblLook w:val="04A0" w:firstRow="1" w:lastRow="0" w:firstColumn="1" w:lastColumn="0" w:noHBand="0" w:noVBand="1"/>
      </w:tblPr>
      <w:tblGrid>
        <w:gridCol w:w="1486"/>
        <w:gridCol w:w="4320"/>
        <w:gridCol w:w="3050"/>
      </w:tblGrid>
      <w:tr w:rsidR="00EC06A9">
        <w:tc>
          <w:tcPr>
            <w:tcW w:w="1728" w:type="dxa"/>
            <w:shd w:val="clear" w:color="auto" w:fill="F3F3F3"/>
          </w:tcPr>
          <w:p w:rsidR="00EC06A9" w:rsidRDefault="00ED1D8A">
            <w:r>
              <w:rPr>
                <w:b/>
                <w:sz w:val="20"/>
              </w:rPr>
              <w:t>Week</w:t>
            </w:r>
          </w:p>
        </w:tc>
        <w:tc>
          <w:tcPr>
            <w:tcW w:w="5040" w:type="dxa"/>
            <w:shd w:val="clear" w:color="auto" w:fill="F3F3F3"/>
          </w:tcPr>
          <w:p w:rsidR="00EC06A9" w:rsidRDefault="00ED1D8A">
            <w:r>
              <w:rPr>
                <w:b/>
                <w:sz w:val="20"/>
              </w:rPr>
              <w:t>Planned Work</w:t>
            </w:r>
          </w:p>
        </w:tc>
        <w:tc>
          <w:tcPr>
            <w:tcW w:w="3600" w:type="dxa"/>
            <w:shd w:val="clear" w:color="auto" w:fill="F3F3F3"/>
          </w:tcPr>
          <w:p w:rsidR="00EC06A9" w:rsidRDefault="00ED1D8A">
            <w:r>
              <w:rPr>
                <w:b/>
                <w:sz w:val="20"/>
              </w:rPr>
              <w:t>Expected Output</w:t>
            </w:r>
          </w:p>
        </w:tc>
      </w:tr>
      <w:tr w:rsidR="00EC06A9">
        <w:tc>
          <w:tcPr>
            <w:tcW w:w="1728" w:type="dxa"/>
          </w:tcPr>
          <w:p w:rsidR="00EC06A9" w:rsidRDefault="00ED1D8A">
            <w:r>
              <w:rPr>
                <w:sz w:val="20"/>
              </w:rPr>
              <w:t>Week 1</w:t>
            </w:r>
          </w:p>
        </w:tc>
        <w:tc>
          <w:tcPr>
            <w:tcW w:w="5040" w:type="dxa"/>
          </w:tcPr>
          <w:p w:rsidR="00EC06A9" w:rsidRDefault="00ED1D8A">
            <w:r>
              <w:rPr>
                <w:sz w:val="20"/>
              </w:rPr>
              <w:t>D1: Nest write cutover</w:t>
            </w:r>
            <w:r>
              <w:rPr>
                <w:sz w:val="20"/>
              </w:rPr>
              <w:t xml:space="preserve"> for fund/approve/release (+ telemetry); transaction-state feedback with hashes on the happy path.</w:t>
            </w:r>
          </w:p>
        </w:tc>
        <w:tc>
          <w:tcPr>
            <w:tcW w:w="3600" w:type="dxa"/>
          </w:tcPr>
          <w:p w:rsidR="00EC06A9" w:rsidRDefault="00ED1D8A">
            <w:r>
              <w:rPr>
                <w:sz w:val="20"/>
              </w:rPr>
              <w:t>Core write path on Nest; every happy-path on-chain action reports state + hash.</w:t>
            </w:r>
          </w:p>
        </w:tc>
      </w:tr>
      <w:tr w:rsidR="00EC06A9">
        <w:tc>
          <w:tcPr>
            <w:tcW w:w="1728" w:type="dxa"/>
          </w:tcPr>
          <w:p w:rsidR="00EC06A9" w:rsidRDefault="00ED1D8A">
            <w:r>
              <w:rPr>
                <w:sz w:val="20"/>
              </w:rPr>
              <w:t>Week 2</w:t>
            </w:r>
          </w:p>
        </w:tc>
        <w:tc>
          <w:tcPr>
            <w:tcW w:w="5040" w:type="dxa"/>
          </w:tcPr>
          <w:p w:rsidR="00EC06A9" w:rsidRDefault="00ED1D8A">
            <w:r>
              <w:rPr>
                <w:sz w:val="20"/>
              </w:rPr>
              <w:t>D1 failure-path matrix + D2 network/USDC unification across FE+BE; fa</w:t>
            </w:r>
            <w:r>
              <w:rPr>
                <w:sz w:val="20"/>
              </w:rPr>
              <w:t>il-fast mixed-network boot refusal.</w:t>
            </w:r>
          </w:p>
        </w:tc>
        <w:tc>
          <w:tcPr>
            <w:tcW w:w="3600" w:type="dxa"/>
          </w:tcPr>
          <w:p w:rsidR="00EC06A9" w:rsidRDefault="00ED1D8A">
            <w:r>
              <w:rPr>
                <w:sz w:val="20"/>
              </w:rPr>
              <w:t>Documented failure-state matrix; merged network-config PRs; app refuses mixed-network boot.</w:t>
            </w:r>
          </w:p>
        </w:tc>
      </w:tr>
      <w:tr w:rsidR="00EC06A9">
        <w:tc>
          <w:tcPr>
            <w:tcW w:w="1728" w:type="dxa"/>
          </w:tcPr>
          <w:p w:rsidR="00EC06A9" w:rsidRDefault="00ED1D8A">
            <w:r>
              <w:rPr>
                <w:sz w:val="20"/>
              </w:rPr>
              <w:t>Week 3</w:t>
            </w:r>
          </w:p>
        </w:tc>
        <w:tc>
          <w:tcPr>
            <w:tcW w:w="5040" w:type="dxa"/>
          </w:tcPr>
          <w:p w:rsidR="00EC06A9" w:rsidRDefault="00ED1D8A">
            <w:r>
              <w:rPr>
                <w:sz w:val="20"/>
              </w:rPr>
              <w:t>D2 /health + migration applied-state; D3 full testnet acceptance including dispute path.</w:t>
            </w:r>
          </w:p>
        </w:tc>
        <w:tc>
          <w:tcPr>
            <w:tcW w:w="3600" w:type="dxa"/>
          </w:tcPr>
          <w:p w:rsidR="00EC06A9" w:rsidRDefault="00ED1D8A">
            <w:r>
              <w:rPr>
                <w:sz w:val="20"/>
              </w:rPr>
              <w:t>/health green; migrations track</w:t>
            </w:r>
            <w:r>
              <w:rPr>
                <w:sz w:val="20"/>
              </w:rPr>
              <w:t>ed; completed testnet checklist with a hash per step.</w:t>
            </w:r>
          </w:p>
        </w:tc>
      </w:tr>
      <w:tr w:rsidR="00EC06A9">
        <w:tc>
          <w:tcPr>
            <w:tcW w:w="1728" w:type="dxa"/>
          </w:tcPr>
          <w:p w:rsidR="00EC06A9" w:rsidRDefault="00ED1D8A">
            <w:r>
              <w:rPr>
                <w:sz w:val="20"/>
              </w:rPr>
              <w:t>Week 4</w:t>
            </w:r>
          </w:p>
        </w:tc>
        <w:tc>
          <w:tcPr>
            <w:tcW w:w="5040" w:type="dxa"/>
          </w:tcPr>
          <w:p w:rsidR="00EC06A9" w:rsidRDefault="00ED1D8A">
            <w:r>
              <w:rPr>
                <w:sz w:val="20"/>
              </w:rPr>
              <w:t>D3 controlled mainnet run; demo video; user flow doc + operations runbook.</w:t>
            </w:r>
          </w:p>
        </w:tc>
        <w:tc>
          <w:tcPr>
            <w:tcW w:w="3600" w:type="dxa"/>
          </w:tcPr>
          <w:p w:rsidR="00EC06A9" w:rsidRDefault="00ED1D8A">
            <w:r>
              <w:rPr>
                <w:sz w:val="20"/>
              </w:rPr>
              <w:t>Mainnet checklist with verifiable hashes; demo video; runbook and user doc published in-repo.</w:t>
            </w:r>
          </w:p>
        </w:tc>
      </w:tr>
    </w:tbl>
    <w:p w:rsidR="00EC06A9" w:rsidRDefault="00EC06A9"/>
    <w:p w:rsidR="00EC06A9" w:rsidRDefault="00ED1D8A">
      <w:pPr>
        <w:pStyle w:val="Ttulo2"/>
      </w:pPr>
      <w:r>
        <w:rPr>
          <w:rFonts w:ascii="Arial" w:eastAsia="Arial" w:hAnsi="Arial"/>
          <w:sz w:val="28"/>
        </w:rPr>
        <w:t xml:space="preserve">6. Evidence of </w:t>
      </w:r>
      <w:r>
        <w:rPr>
          <w:rFonts w:ascii="Arial" w:eastAsia="Arial" w:hAnsi="Arial"/>
          <w:sz w:val="28"/>
        </w:rPr>
        <w:t>Completion</w:t>
      </w:r>
    </w:p>
    <w:tbl>
      <w:tblPr>
        <w:tblStyle w:val="Tablaconcuadrcula"/>
        <w:tblW w:w="0" w:type="auto"/>
        <w:tblLook w:val="04A0" w:firstRow="1" w:lastRow="0" w:firstColumn="1" w:lastColumn="0" w:noHBand="0" w:noVBand="1"/>
      </w:tblPr>
      <w:tblGrid>
        <w:gridCol w:w="2301"/>
        <w:gridCol w:w="3065"/>
        <w:gridCol w:w="3490"/>
      </w:tblGrid>
      <w:tr w:rsidR="00EC06A9">
        <w:tc>
          <w:tcPr>
            <w:tcW w:w="2592" w:type="dxa"/>
            <w:shd w:val="clear" w:color="auto" w:fill="F3F3F3"/>
          </w:tcPr>
          <w:p w:rsidR="00EC06A9" w:rsidRDefault="00ED1D8A">
            <w:r>
              <w:rPr>
                <w:b/>
                <w:sz w:val="20"/>
              </w:rPr>
              <w:t>Deliverable</w:t>
            </w:r>
          </w:p>
        </w:tc>
        <w:tc>
          <w:tcPr>
            <w:tcW w:w="3600" w:type="dxa"/>
            <w:shd w:val="clear" w:color="auto" w:fill="F3F3F3"/>
          </w:tcPr>
          <w:p w:rsidR="00EC06A9" w:rsidRDefault="00ED1D8A">
            <w:r>
              <w:rPr>
                <w:b/>
                <w:sz w:val="20"/>
              </w:rPr>
              <w:t>Evidence Type</w:t>
            </w:r>
          </w:p>
        </w:tc>
        <w:tc>
          <w:tcPr>
            <w:tcW w:w="3888" w:type="dxa"/>
            <w:shd w:val="clear" w:color="auto" w:fill="F3F3F3"/>
          </w:tcPr>
          <w:p w:rsidR="00EC06A9" w:rsidRDefault="00ED1D8A">
            <w:r>
              <w:rPr>
                <w:b/>
                <w:sz w:val="20"/>
              </w:rPr>
              <w:t>Description</w:t>
            </w:r>
          </w:p>
        </w:tc>
      </w:tr>
      <w:tr w:rsidR="00EC06A9">
        <w:tc>
          <w:tcPr>
            <w:tcW w:w="2592" w:type="dxa"/>
          </w:tcPr>
          <w:p w:rsidR="00EC06A9" w:rsidRDefault="00ED1D8A">
            <w:r>
              <w:rPr>
                <w:sz w:val="20"/>
              </w:rPr>
              <w:t>D1 — End-to-end flow</w:t>
            </w:r>
          </w:p>
        </w:tc>
        <w:tc>
          <w:tcPr>
            <w:tcW w:w="3600" w:type="dxa"/>
          </w:tcPr>
          <w:p w:rsidR="00EC06A9" w:rsidRDefault="00ED1D8A">
            <w:r>
              <w:rPr>
                <w:sz w:val="20"/>
              </w:rPr>
              <w:t>Merged PR links + demo video + failure-state matrix</w:t>
            </w:r>
          </w:p>
        </w:tc>
        <w:tc>
          <w:tcPr>
            <w:tcW w:w="3888" w:type="dxa"/>
          </w:tcPr>
          <w:p w:rsidR="00EC06A9" w:rsidRDefault="00ED1D8A">
            <w:r>
              <w:rPr>
                <w:sz w:val="20"/>
              </w:rPr>
              <w:t xml:space="preserve">Merged PRs closing the flow. Video of fund/approve/release with live tx </w:t>
            </w:r>
            <w:r>
              <w:rPr>
                <w:sz w:val="20"/>
              </w:rPr>
              <w:lastRenderedPageBreak/>
              <w:t>feedback. Failure-path matrix.</w:t>
            </w:r>
          </w:p>
        </w:tc>
      </w:tr>
      <w:tr w:rsidR="00EC06A9">
        <w:tc>
          <w:tcPr>
            <w:tcW w:w="2592" w:type="dxa"/>
          </w:tcPr>
          <w:p w:rsidR="00EC06A9" w:rsidRDefault="00ED1D8A">
            <w:r>
              <w:rPr>
                <w:sz w:val="20"/>
              </w:rPr>
              <w:lastRenderedPageBreak/>
              <w:t>D2 — Switchable config + ops</w:t>
            </w:r>
          </w:p>
        </w:tc>
        <w:tc>
          <w:tcPr>
            <w:tcW w:w="3600" w:type="dxa"/>
          </w:tcPr>
          <w:p w:rsidR="00EC06A9" w:rsidRDefault="00ED1D8A">
            <w:r>
              <w:rPr>
                <w:sz w:val="20"/>
              </w:rPr>
              <w:t>Merged PR links + live /health URL + boot-failure screenshot + migration output</w:t>
            </w:r>
          </w:p>
        </w:tc>
        <w:tc>
          <w:tcPr>
            <w:tcW w:w="3888" w:type="dxa"/>
          </w:tcPr>
          <w:p w:rsidR="00EC06A9" w:rsidRDefault="00ED1D8A">
            <w:r>
              <w:rPr>
                <w:sz w:val="20"/>
              </w:rPr>
              <w:t>Live /health showing resolved network. Screenshot of mixed-network boot refusal. Migration applied-state output.</w:t>
            </w:r>
          </w:p>
        </w:tc>
      </w:tr>
      <w:tr w:rsidR="00EC06A9">
        <w:tc>
          <w:tcPr>
            <w:tcW w:w="2592" w:type="dxa"/>
          </w:tcPr>
          <w:p w:rsidR="00EC06A9" w:rsidRDefault="00ED1D8A">
            <w:r>
              <w:rPr>
                <w:sz w:val="20"/>
              </w:rPr>
              <w:t>D3 — Verified validation</w:t>
            </w:r>
          </w:p>
        </w:tc>
        <w:tc>
          <w:tcPr>
            <w:tcW w:w="3600" w:type="dxa"/>
          </w:tcPr>
          <w:p w:rsidR="00EC06A9" w:rsidRDefault="00ED1D8A">
            <w:r>
              <w:rPr>
                <w:sz w:val="20"/>
              </w:rPr>
              <w:t>Completed checklist + Stellar tx hash</w:t>
            </w:r>
            <w:r>
              <w:rPr>
                <w:sz w:val="20"/>
              </w:rPr>
              <w:t>es (testnet + mainnet) + demo video + docs</w:t>
            </w:r>
          </w:p>
        </w:tc>
        <w:tc>
          <w:tcPr>
            <w:tcW w:w="3888" w:type="dxa"/>
          </w:tcPr>
          <w:p w:rsidR="00EC06A9" w:rsidRDefault="00ED1D8A">
            <w:r>
              <w:rPr>
                <w:sz w:val="20"/>
              </w:rPr>
              <w:t>Filled checklist. Explorer-linked hashes for every on-chain step. Links to demo, user doc, runbook.</w:t>
            </w:r>
          </w:p>
        </w:tc>
      </w:tr>
    </w:tbl>
    <w:p w:rsidR="00EC06A9" w:rsidRDefault="00EC06A9"/>
    <w:p w:rsidR="00EC06A9" w:rsidRDefault="00ED1D8A">
      <w:r>
        <w:t xml:space="preserve">Verification checklist (for Ambassador use): each row marked Present / Partial / Missing; D3 verified by </w:t>
      </w:r>
      <w:r>
        <w:t>confirming every checklist hash resolves on a public Stellar explorer.</w:t>
      </w:r>
    </w:p>
    <w:p w:rsidR="00EC06A9" w:rsidRDefault="00ED1D8A">
      <w:pPr>
        <w:pStyle w:val="Ttulo2"/>
      </w:pPr>
      <w:r>
        <w:rPr>
          <w:rFonts w:ascii="Arial" w:eastAsia="Arial" w:hAnsi="Arial"/>
          <w:sz w:val="28"/>
        </w:rPr>
        <w:t>7. Next-Step Alignment</w:t>
      </w:r>
    </w:p>
    <w:p w:rsidR="00EC06A9" w:rsidRDefault="00ED1D8A">
      <w:pPr>
        <w:pStyle w:val="Listaconvietas"/>
      </w:pPr>
      <w:r>
        <w:t>Apply to SCF Build Award — with the primary money path closed, switchable, and verified on-chain.</w:t>
      </w:r>
    </w:p>
    <w:p w:rsidR="00EC06A9" w:rsidRDefault="00ED1D8A">
      <w:pPr>
        <w:pStyle w:val="Listaconvietas"/>
      </w:pPr>
      <w:r>
        <w:t>Continue development independently / GrantFox peripheral waves (</w:t>
      </w:r>
      <w:r>
        <w:t>Connect polish, i18n, tests) kept off the core escrow/config files this Instaward touches.</w:t>
      </w:r>
    </w:p>
    <w:p w:rsidR="00EC06A9" w:rsidRDefault="00ED1D8A">
      <w:r>
        <w:t>Deferred to Build Award / later: anchors on/off-ramp, role-perspective UX, first real-user cohort, github-evidence Nest completion if still open.</w:t>
      </w:r>
    </w:p>
    <w:p w:rsidR="00EC06A9" w:rsidRDefault="00ED1D8A">
      <w:pPr>
        <w:pStyle w:val="Ttulo2"/>
      </w:pPr>
      <w:r>
        <w:rPr>
          <w:rFonts w:ascii="Arial" w:eastAsia="Arial" w:hAnsi="Arial"/>
          <w:sz w:val="28"/>
        </w:rPr>
        <w:t>8. Instawards Const</w:t>
      </w:r>
      <w:r>
        <w:rPr>
          <w:rFonts w:ascii="Arial" w:eastAsia="Arial" w:hAnsi="Arial"/>
          <w:sz w:val="28"/>
        </w:rPr>
        <w:t>raints Acknowledgement</w:t>
      </w:r>
    </w:p>
    <w:p w:rsidR="00EC06A9" w:rsidRDefault="00ED1D8A">
      <w:pPr>
        <w:pStyle w:val="Listaconvietas"/>
      </w:pPr>
      <w:r>
        <w:t>Completed within 30 days or less</w:t>
      </w:r>
    </w:p>
    <w:p w:rsidR="00EC06A9" w:rsidRDefault="00ED1D8A">
      <w:pPr>
        <w:pStyle w:val="Listaconvietas"/>
      </w:pPr>
      <w:r>
        <w:t>Instawards support execution, not open-ended exploration</w:t>
      </w:r>
    </w:p>
    <w:p w:rsidR="00EC06A9" w:rsidRDefault="00ED1D8A">
      <w:pPr>
        <w:pStyle w:val="Listaconvietas"/>
      </w:pPr>
      <w:r>
        <w:t>A project may receive no more than two follow-on Instawards</w:t>
      </w:r>
    </w:p>
    <w:p w:rsidR="00EC06A9" w:rsidRDefault="00ED1D8A">
      <w:pPr>
        <w:pStyle w:val="Listaconvietas"/>
      </w:pPr>
      <w:r>
        <w:t>Each Instaward is capped at $5,000</w:t>
      </w:r>
    </w:p>
    <w:p w:rsidR="00EC06A9" w:rsidRDefault="00ED1D8A">
      <w:pPr>
        <w:pStyle w:val="Listaconvietas"/>
      </w:pPr>
      <w:r>
        <w:t>Total Instawards funding may not exceed $15,000</w:t>
      </w:r>
    </w:p>
    <w:sectPr w:rsidR="00EC06A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AA1D8D"/>
    <w:rsid w:val="00B47730"/>
    <w:rsid w:val="00CB0664"/>
    <w:rsid w:val="00EC06A9"/>
    <w:rsid w:val="00ED1D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C48DD1D1-2C1B-4FF2-BCF7-90D7F5F7F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eastAsia="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B02B77-CDBA-4620-88FD-F7AB71CBD3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1253</Words>
  <Characters>6894</Characters>
  <Application>Microsoft Office Word</Application>
  <DocSecurity>0</DocSecurity>
  <Lines>57</Lines>
  <Paragraphs>16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8131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Kalcha</cp:lastModifiedBy>
  <cp:revision>2</cp:revision>
  <dcterms:created xsi:type="dcterms:W3CDTF">2026-09-04T22:23:00Z</dcterms:created>
  <dcterms:modified xsi:type="dcterms:W3CDTF">2026-09-04T22:23:00Z</dcterms:modified>
  <cp:category/>
</cp:coreProperties>
</file>