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 Government Datahub Platform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Government Datahub Platform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4–5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ผู้ดำเนินการของหน่วยงาน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063"/>
        <w:gridCol w:w="5566"/>
        <w:gridCol w:w="1895"/>
      </w:tblGrid>
      <w:tr>
        <w:trPr>
          <w:cantSplit w:val="1"/>
          <w:tblHeader w:val="1"/>
        </w:trPr>
        <w:tc>
          <w:tcPr>
            <w:tcW w:type="dxa" w:w="20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8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ผิดต้องแจ้งเจ้าหน้าที่ BDI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เท่านั้น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66B5248-05C8-4524-9E60-0AB5099652E7}" w:subsetted="0"/>
    <w:embedBold r:id="rIdFont2" w:fontKey="{B351153B-77FC-47C4-86EB-04855DCE57A6}" w:subsetted="0"/>
    <w:embedItalic r:id="rIdFont3" w:fontKey="{1CD3CABA-5F30-46A5-8553-C75ED247669A}" w:subsetted="0"/>
    <w:embedBoldItalic r:id="rIdFont4" w:fontKey="{8BF58920-6665-466A-BB7E-12B7441B8DFC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