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 Government Datahub Platform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Government Datahub Platform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3–4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ผู้ดำเนินการของหน่วยงาน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063"/>
        <w:gridCol w:w="5566"/>
        <w:gridCol w:w="1895"/>
      </w:tblGrid>
      <w:tr>
        <w:trPr>
          <w:cantSplit w:val="1"/>
          <w:tblHeader w:val="1"/>
        </w:trPr>
        <w:tc>
          <w:tcPr>
            <w:tcW w:type="dxa" w:w="20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8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ผิดต้องแจ้งเจ้าหน้าที่ BDI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เท่านั้น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3135FC68-DEEC-4320-8358-98C06F5FD5E1}" w:subsetted="0"/>
    <w:embedBold r:id="rIdFont2" w:fontKey="{D18ACDB8-DB0F-45C4-86FE-1E8D763D538F}" w:subsetted="0"/>
    <w:embedItalic r:id="rIdFont3" w:fontKey="{B637107E-C25F-4D05-A432-E2834E68A4A4}" w:subsetted="0"/>
    <w:embedBoldItalic r:id="rIdFont4" w:fontKey="{B14576D1-0344-482E-9ADE-EE8C53909472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