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(ผู้มีอำนาจกระทำการแทนของหน่วยงาน)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03"/>
        <w:gridCol w:w="2639"/>
        <w:gridCol w:w="2881"/>
      </w:tblGrid>
      <w:tr>
        <w:trPr>
          <w:cantSplit w:val="1"/>
          <w:tblHeader w:val="1"/>
        </w:trPr>
        <w:tc>
          <w:tcPr>
            <w:tcW w:type="dxa" w:w="40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ผู้มีอำนาจกระทำการแทนของหน่วยงาน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69"/>
        <w:gridCol w:w="3869"/>
        <w:gridCol w:w="1786"/>
      </w:tblGrid>
      <w:tr>
        <w:trPr>
          <w:cantSplit w:val="1"/>
          <w:tblHeader w:val="1"/>
        </w:trPr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7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๒๕๖๙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๑๘ สิงหาคม ๒๕๖๙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11"/>
        <w:gridCol w:w="3632"/>
        <w:gridCol w:w="2981"/>
      </w:tblGrid>
      <w:tr>
        <w:trPr>
          <w:cantSplit w:val="1"/>
          <w:tblHeader w:val="1"/>
        </w:trPr>
        <w:tc>
          <w:tcPr>
            <w:tcW w:type="dxa" w:w="29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3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๔๐๐๐๐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๐๔๓๒๓๖๗๘๙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37"/>
        <w:gridCol w:w="2418"/>
        <w:gridCol w:w="2270"/>
      </w:tblGrid>
      <w:tr>
        <w:trPr>
          <w:cantSplit w:val="1"/>
          <w:tblHeader w:val="1"/>
        </w:trPr>
        <w:tc>
          <w:tcPr>
            <w:tcW w:type="dxa" w:w="48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1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๐๘๑๒๓๔๕๖๗๘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๑-๑๐๑๗-๐๐๒๐๗-๐๓-๐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35"/>
        <w:gridCol w:w="2112"/>
        <w:gridCol w:w="2878"/>
      </w:tblGrid>
      <w:tr>
        <w:trPr>
          <w:cantSplit w:val="1"/>
          <w:tblHeader w:val="1"/>
        </w:trPr>
        <w:tc>
          <w:tcPr>
            <w:tcW w:type="dxa" w:w="45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1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๐๘๒๐๐๐๐๐๐๐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๑-๑๐๑๗-๐๐๒๐๗-๐๓-๑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๐๒๑๔๒๑๔๔๔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22"/>
        <w:gridCol w:w="3462"/>
        <w:gridCol w:w="2040"/>
      </w:tblGrid>
      <w:tr>
        <w:trPr>
          <w:cantSplit w:val="1"/>
          <w:tblHeader w:val="1"/>
        </w:trPr>
        <w:tc>
          <w:tcPr>
            <w:tcW w:type="dxa" w:w="40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 (เลขไทย)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๕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๖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63"/>
        <w:gridCol w:w="3688"/>
        <w:gridCol w:w="3473"/>
      </w:tblGrid>
      <w:tr>
        <w:trPr>
          <w:cantSplit w:val="1"/>
          <w:tblHeader w:val="1"/>
        </w:trPr>
        <w:tc>
          <w:tcPr>
            <w:tcW w:type="dxa" w:w="23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4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4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 (Government Datahub Platform)</w:t>
            </w:r>
          </w:p>
        </w:tc>
      </w:tr>
      <w:tr>
        <w:trPr>
          <w:cantSplit w:val="1"/>
        </w:trPr>
        <w:tc>
          <w:tcPr>
            <w:tcW w:type="dxa" w:w="23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4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4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  <w:tr>
        <w:trPr>
          <w:cantSplit w:val="1"/>
        </w:trPr>
        <w:tc>
          <w:tcPr>
            <w:tcW w:type="dxa" w:w="23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4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 ๑๕:๒๗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หนึ่งอย่างที่สคริปต์เดาไม่ได้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: แท็กชื่อเดียวกันที่ใช้คนละความหมาย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ปรากฏสองที่ — ช่องซ้ายเป็นวันที่สำนักงานลงนาม ช่องขวาเป็นวันที่หน่วยงานลงนาม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 ช่องลงนามในเอกสาร ต้องแก้ลำดับนั้นด้วย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A1 A2 A3 ที่ใช้อยู่ยังมีร่องรอยการร่างติดมาด้วย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ไฮไลต์ ขีดฆ่า และตัวอักษรสีแดง รวมหลายร้อยจุด (นับไว้ใน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§4) มาร์กเหล่านั้นจะปรากฏใน เอกสารที่หน่วยงานลงนาม ระบบไม่ได้ลบให้เพราะไม่ควรตัดสินแทนว่าข้อความที่ขีดฆ่าควรอยู่หรือไป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517FB0D-E223-4B84-9059-93EDBB15E46B}" w:subsetted="0"/>
    <w:embedBold r:id="rIdFont2" w:fontKey="{4980131A-5A06-4669-8113-F38EF19B915E}" w:subsetted="0"/>
    <w:embedItalic r:id="rIdFont3" w:fontKey="{70A038FF-3FD5-4D5B-BF4F-D6210917422A}" w:subsetted="0"/>
    <w:embedBoldItalic r:id="rIdFont4" w:fontKey="{68133F51-473B-4E31-BF85-6F67E6567FF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