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ที่ยังไม่เคยเห็นระบบกลางเพื่อการแบ่งปันข้อมูลดิจิทัล (D2)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ระบบกลางเพื่อการแบ่งปันข้อมูลดิจิทัล (D2)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3–4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ผู้ประสานงานของหน่วยงาน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063"/>
        <w:gridCol w:w="5566"/>
        <w:gridCol w:w="1895"/>
      </w:tblGrid>
      <w:tr>
        <w:trPr>
          <w:cantSplit w:val="1"/>
          <w:tblHeader w:val="1"/>
        </w:trPr>
        <w:tc>
          <w:tcPr>
            <w:tcW w:type="dxa" w:w="20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8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ผิดต้องแจ้งเจ้าหน้าที่ BDI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เท่านั้น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A49A367-837F-4EBF-8888-FEDEB2B9E464}" w:subsetted="0"/>
    <w:embedBold r:id="rIdFont2" w:fontKey="{81DE8717-C723-447A-ADFC-4BF82A0E3F0E}" w:subsetted="0"/>
    <w:embedItalic r:id="rIdFont3" w:fontKey="{0B60893F-4DC5-4468-973E-8CADF0C785BE}" w:subsetted="0"/>
    <w:embedBoldItalic r:id="rIdFont4" w:fontKey="{84EC701C-4933-400B-9E55-2D4E50363E4A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