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86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8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 BDI อนุมัติขั้นสุดท้าย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ใต้แผนภาพเป็นแท็บสองอัน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ความคืบหน้า · วันที่ยื่น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cantSplit w:val="1"/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80EB7327-23CC-4E53-A549-BB691432B7A5}" w:subsetted="0"/>
    <w:embedBold r:id="rIdFont2" w:fontKey="{697EE407-D0A6-487E-A6E6-165EB37CF88D}" w:subsetted="0"/>
    <w:embedItalic r:id="rIdFont3" w:fontKey="{6CE0A0F5-52FE-4747-BC09-130B651CBA96}" w:subsetted="0"/>
    <w:embedBoldItalic r:id="rIdFont4" w:fontKey="{C569A156-919C-4437-93E5-61A74FA9C2FB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