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που εδρεύει 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ODOS</w:t>
      </w:r>
      <w:r>
        <w:rPr>
          <w:rFonts w:cs="DejaVu Sans Condensed" w:ascii="DejaVu Sans Condensed" w:hAnsi="DejaVu Sans Condensed"/>
          <w:sz w:val="18"/>
          <w:szCs w:val="18"/>
        </w:rPr>
        <w:t>}, αρ. {_</w:t>
      </w:r>
      <w:r>
        <w:rPr>
          <w:rFonts w:cs="DejaVu Sans Condensed" w:ascii="DejaVu Sans Condensed" w:hAnsi="DejaVu Sans Condensed"/>
          <w:sz w:val="18"/>
          <w:szCs w:val="18"/>
          <w:lang w:val="en-US"/>
        </w:rPr>
        <w:t>ARITHMOS</w:t>
      </w:r>
      <w:r>
        <w:rPr>
          <w:rFonts w:cs="DejaVu Sans Condensed" w:ascii="DejaVu Sans Condensed" w:hAnsi="DejaVu Sans Condensed"/>
          <w:sz w:val="18"/>
          <w:szCs w:val="18"/>
        </w:rPr>
        <w:t>}), με ΑΦΜ {_</w:t>
      </w:r>
      <w:r>
        <w:rPr>
          <w:rFonts w:cs="DejaVu Sans Condensed" w:ascii="DejaVu Sans Condensed" w:hAnsi="DejaVu Sans Condensed"/>
          <w:sz w:val="18"/>
          <w:szCs w:val="18"/>
          <w:lang w:val="en-US"/>
        </w:rPr>
        <w:t>AFM</w:t>
      </w:r>
      <w:r>
        <w:rPr>
          <w:rFonts w:cs="DejaVu Sans Condensed" w:ascii="DejaVu Sans Condensed" w:hAnsi="DejaVu Sans Condensed"/>
          <w:sz w:val="18"/>
          <w:szCs w:val="18"/>
        </w:rPr>
        <w:t>} (ΔΟΥ {_</w:t>
      </w:r>
      <w:r>
        <w:rPr>
          <w:rFonts w:cs="DejaVu Sans Condensed" w:ascii="DejaVu Sans Condensed" w:hAnsi="DejaVu Sans Condensed"/>
          <w:sz w:val="18"/>
          <w:szCs w:val="18"/>
          <w:lang w:val="en-US"/>
        </w:rPr>
        <w:t>DOY</w:t>
      </w:r>
      <w:r>
        <w:rPr>
          <w:rFonts w:cs="DejaVu Sans Condensed" w:ascii="DejaVu Sans Condensed" w:hAnsi="DejaVu Sans Condensed"/>
          <w:sz w:val="18"/>
          <w:szCs w:val="18"/>
        </w:rPr>
        <w:t>}), η οποία εκπροσωπείται νομίμως από τον/την {_</w:t>
      </w:r>
      <w:r>
        <w:rPr>
          <w:rFonts w:cs="DejaVu Sans Condensed" w:ascii="DejaVu Sans Condensed" w:hAnsi="DejaVu Sans Condensed"/>
          <w:sz w:val="18"/>
          <w:szCs w:val="18"/>
          <w:lang w:val="en-US"/>
        </w:rPr>
        <w:t>EPONYMO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ONOMA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κάτοχο του {_</w:t>
      </w:r>
      <w:r>
        <w:rPr>
          <w:rFonts w:cs="DejaVu Sans Condensed" w:ascii="DejaVu Sans Condensed" w:hAnsi="DejaVu Sans Condensed"/>
          <w:sz w:val="18"/>
          <w:szCs w:val="18"/>
          <w:lang w:val="en-US"/>
        </w:rPr>
        <w:t>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με αριθμό {_</w:t>
      </w:r>
      <w:r>
        <w:rPr>
          <w:rFonts w:cs="DejaVu Sans Condensed" w:ascii="DejaVu Sans Condensed" w:hAnsi="DejaVu Sans Condensed"/>
          <w:sz w:val="18"/>
          <w:szCs w:val="18"/>
          <w:lang w:val="en-US"/>
        </w:rPr>
        <w:t>ADT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ΑΦΜ {_</w:t>
      </w:r>
      <w:r>
        <w:rPr>
          <w:rFonts w:cs="DejaVu Sans Condensed" w:ascii="DejaVu Sans Condensed" w:hAnsi="DejaVu Sans Condensed"/>
          <w:sz w:val="18"/>
          <w:szCs w:val="18"/>
          <w:lang w:val="en-US"/>
        </w:rPr>
        <w:t>AFM</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του {_</w:t>
      </w:r>
      <w:r>
        <w:rPr>
          <w:rFonts w:cs="DejaVu Sans Condensed" w:ascii="DejaVu Sans Condensed" w:hAnsi="DejaVu Sans Condensed"/>
          <w:sz w:val="18"/>
          <w:szCs w:val="18"/>
          <w:lang w:val="en-US"/>
        </w:rPr>
        <w:t>PATRONYMO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κάτοικος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(οδός {_</w:t>
      </w:r>
      <w:r>
        <w:rPr>
          <w:rFonts w:cs="DejaVu Sans Condensed" w:ascii="DejaVu Sans Condensed" w:hAnsi="DejaVu Sans Condensed"/>
          <w:sz w:val="18"/>
          <w:szCs w:val="18"/>
          <w:lang w:val="en-US"/>
        </w:rPr>
        <w:t>ODOS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αρ. {_</w:t>
      </w:r>
      <w:r>
        <w:rPr>
          <w:rFonts w:cs="DejaVu Sans Condensed" w:ascii="DejaVu Sans Condensed" w:hAnsi="DejaVu Sans Condensed"/>
          <w:sz w:val="18"/>
          <w:szCs w:val="18"/>
          <w:lang w:val="en-US"/>
        </w:rPr>
        <w:t>ARITHMOS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κάτοχος του {_</w:t>
      </w:r>
      <w:r>
        <w:rPr>
          <w:rFonts w:cs="DejaVu Sans Condensed" w:ascii="DejaVu Sans Condensed" w:hAnsi="DejaVu Sans Condensed"/>
          <w:sz w:val="18"/>
          <w:szCs w:val="18"/>
          <w:lang w:val="en-US"/>
        </w:rPr>
        <w:t>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με αριθμό {_</w:t>
      </w:r>
      <w:r>
        <w:rPr>
          <w:rFonts w:cs="DejaVu Sans Condensed" w:ascii="DejaVu Sans Condensed" w:hAnsi="DejaVu Sans Condensed"/>
          <w:sz w:val="18"/>
          <w:szCs w:val="18"/>
          <w:lang w:val="en-US"/>
        </w:rPr>
        <w:t>ADT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ΑΦΜ {_</w:t>
      </w:r>
      <w:r>
        <w:rPr>
          <w:rFonts w:cs="DejaVu Sans Condensed" w:ascii="DejaVu Sans Condensed" w:hAnsi="DejaVu Sans Condensed"/>
          <w:sz w:val="18"/>
          <w:szCs w:val="18"/>
          <w:lang w:val="en-US"/>
        </w:rPr>
        <w:t>AFM</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t xml:space="preserve">ΕΙΔΟΣ ΣΥΜΒΑΣΗΣ - ΔΙΑΡΚΕΙΑ ΣΥΜΒΑΣΗΣ: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t>XΡΟΝΟΣ ΑΠΑΣΧΟΛΗΣΕΩΣ: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Ημέρες εβδομαδιαίας απασχόλησης</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παρέχει τις υπηρεσίες τ{_GENIKH_A} απασχολούμεν{_ONOMASTIKH_K} {_</w:t>
      </w:r>
      <w:r>
        <w:rPr>
          <w:rFonts w:cs="DejaVu Sans Condensed" w:ascii="DejaVu Sans Condensed" w:hAnsi="DejaVu Sans Condensed"/>
          <w:sz w:val="18"/>
          <w:szCs w:val="18"/>
          <w:lang w:val="en-US"/>
        </w:rPr>
        <w:t>HMERES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HMERES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APASXOLHSHS</w:t>
      </w:r>
      <w:r>
        <w:rPr>
          <w:rFonts w:cs="DejaVu Sans Condensed" w:ascii="DejaVu Sans Condensed" w:hAnsi="DejaVu Sans Condensed"/>
          <w:sz w:val="18"/>
          <w:szCs w:val="18"/>
        </w:rPr>
        <w:t>}) ημέρες την εβδομάδα, λαμβάνοντας υπόψη τις ρυθμίσεις της ισχύουσας κλαδικής εθνικής ή τοπικής ΣΣΕ.</w:t>
      </w:r>
      <w:r>
        <w:rPr>
          <w:rFonts w:cs="DejaVu Sans Condensed" w:ascii="DejaVu Sans Condensed" w:hAnsi="DejaVu Sans Condensed"/>
          <w:i/>
          <w:iCs/>
          <w:sz w:val="18"/>
          <w:szCs w:val="18"/>
        </w:rPr>
        <w:t xml:space="preserve"> {_</w:t>
      </w:r>
      <w:r>
        <w:rPr>
          <w:rFonts w:cs="DejaVu Sans Condensed" w:ascii="DejaVu Sans Condensed" w:hAnsi="DejaVu Sans Condensed"/>
          <w:i/>
          <w:iCs/>
          <w:sz w:val="18"/>
          <w:szCs w:val="18"/>
          <w:lang w:val="en-US"/>
        </w:rPr>
        <w:t>HOTEL</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Ώρες εβδομαδιαίας απασχόλησης</w:t>
      </w:r>
      <w:r>
        <w:rPr>
          <w:rFonts w:cs="DejaVu Sans Condensed" w:ascii="DejaVu Sans Condensed" w:hAnsi="DejaVu Sans Condensed"/>
          <w:sz w:val="18"/>
          <w:szCs w:val="18"/>
        </w:rPr>
        <w:t>: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{_</w:t>
      </w:r>
      <w:r>
        <w:rPr>
          <w:rFonts w:cs="DejaVu Sans Condensed" w:ascii="DejaVu Sans Condensed" w:hAnsi="DejaVu Sans Condensed"/>
          <w:sz w:val="18"/>
          <w:szCs w:val="18"/>
          <w:lang w:val="en-US"/>
        </w:rPr>
        <w:t>ORES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ORES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APASXOLHSHS</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Ώρες ημερήσιας απασχόλησης</w:t>
      </w:r>
      <w:r>
        <w:rPr>
          <w:rFonts w:cs="DejaVu Sans Condensed" w:ascii="DejaVu Sans Condensed" w:hAnsi="DejaVu Sans Condensed"/>
          <w:sz w:val="18"/>
          <w:szCs w:val="18"/>
        </w:rPr>
        <w:t>: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 κατά περίπτωση, σύμφωνα με ΕΓΣΣΕ και ΠΔ 80/2022 άρθρα181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rPr>
        <w:t>Σύστημα Βαρδιών</w:t>
      </w:r>
      <w:r>
        <w:rPr>
          <w:rFonts w:cs="DejaVu Sans Condensed" w:ascii="DejaVu Sans Condensed" w:hAnsi="DejaVu Sans Condensed"/>
          <w:sz w:val="18"/>
          <w:szCs w:val="18"/>
        </w:rPr>
        <w:t>: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2.5. </w:t>
        <w:tab/>
      </w:r>
      <w:r>
        <w:rPr>
          <w:rFonts w:cs="DejaVu Sans Condensed" w:ascii="DejaVu Sans Condensed" w:hAnsi="DejaVu Sans Condensed"/>
          <w:b/>
          <w:bCs/>
          <w:i/>
          <w:iCs/>
          <w:sz w:val="18"/>
          <w:szCs w:val="18"/>
        </w:rPr>
        <w:t>Συνεχές ή σε διακεκομμένο</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2.6.1.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σε {_</w:t>
      </w:r>
      <w:r>
        <w:rPr>
          <w:rFonts w:cs="DejaVu Sans Condensed" w:ascii="DejaVu Sans Condensed" w:hAnsi="DejaVu Sans Condensed"/>
          <w:sz w:val="18"/>
          <w:szCs w:val="18"/>
          <w:lang w:val="en-US"/>
        </w:rPr>
        <w:t>DIALLEIMA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DIALLEIMA</w:t>
      </w:r>
      <w:r>
        <w:rPr>
          <w:rFonts w:cs="DejaVu Sans Condensed" w:ascii="DejaVu Sans Condensed" w:hAnsi="DejaVu Sans Condensed"/>
          <w:sz w:val="18"/>
          <w:szCs w:val="18"/>
        </w:rPr>
        <w:t>}) λεπτά και {_</w:t>
      </w:r>
      <w:r>
        <w:rPr>
          <w:rFonts w:cs="DejaVu Sans Condensed" w:ascii="DejaVu Sans Condensed" w:hAnsi="DejaVu Sans Condensed"/>
          <w:sz w:val="18"/>
          <w:szCs w:val="18"/>
          <w:lang w:val="en-US"/>
        </w:rPr>
        <w:t>EKTOS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ENTOS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ORARIOY</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2.6.2.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{_</w:t>
      </w:r>
      <w:r>
        <w:rPr>
          <w:rFonts w:cs="DejaVu Sans Condensed" w:ascii="DejaVu Sans Condensed" w:hAnsi="DejaVu Sans Condensed"/>
          <w:sz w:val="18"/>
          <w:szCs w:val="18"/>
          <w:lang w:val="en-US"/>
        </w:rPr>
        <w:t>EYELIKTH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PROSELEYSH</w:t>
      </w:r>
      <w:r>
        <w:rPr>
          <w:rFonts w:cs="DejaVu Sans Condensed" w:ascii="DejaVu Sans Condensed" w:hAnsi="DejaVu Sans Condensed"/>
          <w:sz w:val="18"/>
          <w:szCs w:val="18"/>
        </w:rPr>
        <w:t>}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2.6.</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διατηρεί ή θα διατηρεί στο μέλλον εγκαταστάσεις.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FFFF00"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FFFF00" w:val="clear"/>
          <w:lang w:val="el-GR" w:eastAsia="en-US" w:bidi="ar-SA"/>
        </w:rPr>
        <w:t xml:space="preserve">ή </w:t>
      </w:r>
      <w:r>
        <w:rPr>
          <w:rFonts w:eastAsia="Calibri" w:cs="DejaVu Sans Condensed" w:ascii="DejaVu Sans Condensed" w:hAnsi="DejaVu Sans Condensed" w:eastAsiaTheme="minorHAnsi"/>
          <w:color w:val="000000"/>
          <w:kern w:val="0"/>
          <w:sz w:val="18"/>
          <w:szCs w:val="18"/>
          <w:shd w:fill="FFFF00" w:val="clear"/>
          <w:lang w:val="el-GR" w:eastAsia="en-US" w:bidi="ar-SA"/>
        </w:rPr>
        <w:t>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t>ΕΙΔΙΚΟΤΗΤΑ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TYPOS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GENIKH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CAPITAL</w:t>
      </w:r>
      <w:r>
        <w:rPr>
          <w:rFonts w:cs="DejaVu Sans Condensed" w:ascii="DejaVu Sans Condensed" w:hAnsi="DejaVu Sans Condensed"/>
          <w:b/>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και λήγει με την συμπλήρωση έξι (6) μηνών, ή του ¼ του χρόνου ισχύος της σύμβασης για αορίστου και ορισμένου χρόνου αντίστοιχα.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και η οικογενειακή τ{_GENIKH_A} κατάσταση </w:t>
      </w:r>
      <w:r>
        <w:rPr>
          <w:rFonts w:cs="DejaVu Sans Condensed" w:ascii="DejaVu Sans Condensed" w:hAnsi="DejaVu Sans Condensed"/>
          <w:sz w:val="18"/>
          <w:szCs w:val="18"/>
        </w:rPr>
        <w:t>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Επιμίσθιο - Καταλογισμός (συμψηφισμός)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iCs/>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λαμβάνουν χώρα ανάλογα με τις ανάγκες της επιχείρησης και αμείβονται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λαμβάνουν χώρα ανάλογα με τις ανάγκες της επιχείρησης και αμείβονται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θα καταβάλλονται </w:t>
      </w:r>
      <w:r>
        <w:rPr>
          <w:rFonts w:cs="DejaVu Sans Condensed" w:ascii="DejaVu Sans Condensed" w:hAnsi="DejaVu Sans Condensed"/>
          <w:sz w:val="18"/>
          <w:szCs w:val="18"/>
        </w:rPr>
        <w:t>εντ</w:t>
      </w:r>
      <w:r>
        <w:rPr>
          <w:rFonts w:eastAsia="Calibri" w:cs="DejaVu Sans Condensed" w:ascii="DejaVu Sans Condensed" w:hAnsi="DejaVu Sans Condensed" w:eastAsiaTheme="minorHAnsi"/>
          <w:color w:val="auto"/>
          <w:kern w:val="0"/>
          <w:sz w:val="18"/>
          <w:szCs w:val="18"/>
          <w:lang w:val="el-GR" w:eastAsia="en-US" w:bidi="ar-SA"/>
        </w:rPr>
        <w:t>ός 20ημέρου</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rPr>
        <w:t>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{_ERGODOTHS_</w:t>
      </w:r>
      <w:r>
        <w:rPr>
          <w:rFonts w:cs="DejaVu Sans Condensed" w:ascii="DejaVu Sans Condensed" w:hAnsi="DejaVu Sans Condensed"/>
          <w:sz w:val="18"/>
          <w:szCs w:val="18"/>
          <w:lang w:val="en-US"/>
        </w:rPr>
        <w:t>XORIS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ARTHRO</w:t>
      </w:r>
      <w:r>
        <w:rPr>
          <w:rFonts w:cs="DejaVu Sans Condensed" w:ascii="DejaVu Sans Condensed" w:hAnsi="DejaVu Sans Condensed"/>
          <w:sz w:val="18"/>
          <w:szCs w:val="18"/>
        </w:rPr>
        <w:t xml:space="preserve">}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ιδίως με καταγγελία της, από κάθε συμβαλλόμενο μέρος, διεπόμενη από τις εκάστοτε ισχύουσες διατάξεις της εργατικής νομοθεσίας.</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rPr>
        <w:t>Καταγγελία της σύμβασης από την {_</w:t>
      </w:r>
      <w:r>
        <w:rPr>
          <w:rFonts w:cs="DejaVu Sans Condensed" w:ascii="DejaVu Sans Condensed" w:hAnsi="DejaVu Sans Condensed"/>
          <w:b/>
          <w:bCs/>
          <w:i/>
          <w:iCs/>
          <w:sz w:val="18"/>
          <w:szCs w:val="18"/>
          <w:lang w:val="en-US"/>
        </w:rPr>
        <w:t>ETAIREIA</w:t>
      </w:r>
      <w:r>
        <w:rPr>
          <w:rFonts w:cs="DejaVu Sans Condensed" w:ascii="DejaVu Sans Condensed" w:hAnsi="DejaVu Sans Condensed"/>
          <w:b/>
          <w:bCs/>
          <w:i/>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t>ύψος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t>ύπαρξη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δολία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rPr>
        <w:t>Καταγγελία της σύμβασης από τ{_</w:t>
      </w:r>
      <w:r>
        <w:rPr>
          <w:rFonts w:cs="DejaVu Sans Condensed" w:ascii="DejaVu Sans Condensed" w:hAnsi="DejaVu Sans Condensed"/>
          <w:b/>
          <w:bCs/>
          <w:i/>
          <w:iCs/>
          <w:sz w:val="18"/>
          <w:szCs w:val="18"/>
          <w:lang w:val="en-US"/>
        </w:rPr>
        <w:t>AITIATIKH</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A</w:t>
      </w:r>
      <w:r>
        <w:rPr>
          <w:rFonts w:cs="DejaVu Sans Condensed" w:ascii="DejaVu Sans Condensed" w:hAnsi="DejaVu Sans Condensed"/>
          <w:b/>
          <w:bCs/>
          <w:i/>
          <w:iCs/>
          <w:sz w:val="18"/>
          <w:szCs w:val="18"/>
        </w:rPr>
        <w:t>} {_</w:t>
      </w:r>
      <w:r>
        <w:rPr>
          <w:rFonts w:cs="DejaVu Sans Condensed" w:ascii="DejaVu Sans Condensed" w:hAnsi="DejaVu Sans Condensed"/>
          <w:b/>
          <w:bCs/>
          <w:i/>
          <w:iCs/>
          <w:sz w:val="18"/>
          <w:szCs w:val="18"/>
          <w:lang w:val="en-US"/>
        </w:rPr>
        <w:t>TYPOS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AITIATIKH</w:t>
      </w:r>
      <w:r>
        <w:rPr>
          <w:rFonts w:cs="DejaVu Sans Condensed" w:ascii="DejaVu Sans Condensed" w:hAnsi="DejaVu Sans Condensed"/>
          <w:b/>
          <w:bCs/>
          <w:i/>
          <w:iCs/>
          <w:sz w:val="18"/>
          <w:szCs w:val="18"/>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w:t>
      </w:r>
      <w:r>
        <w:rPr>
          <w:rFonts w:cs="DejaVu Sans Condensed" w:ascii="DejaVu Sans Condensed" w:hAnsi="DejaVu Sans Condensed"/>
          <w:sz w:val="18"/>
          <w:szCs w:val="18"/>
        </w:rPr>
        <w:t>8</w:t>
      </w:r>
      <w:r>
        <w:rPr>
          <w:rFonts w:cs="DejaVu Sans Condensed" w:ascii="DejaVu Sans Condensed" w:hAnsi="DejaVu Sans Condensed"/>
          <w:sz w:val="18"/>
          <w:szCs w:val="18"/>
        </w:rPr>
        <w:t xml:space="preserve">.1. – </w:t>
      </w:r>
      <w:r>
        <w:rPr>
          <w:rFonts w:cs="DejaVu Sans Condensed" w:ascii="DejaVu Sans Condensed" w:hAnsi="DejaVu Sans Condensed"/>
          <w:sz w:val="18"/>
          <w:szCs w:val="18"/>
        </w:rPr>
        <w:t>8</w:t>
      </w:r>
      <w:r>
        <w:rPr>
          <w:rFonts w:cs="DejaVu Sans Condensed" w:ascii="DejaVu Sans Condensed" w:hAnsi="DejaVu Sans Condensed"/>
          <w:sz w:val="18"/>
          <w:szCs w:val="18"/>
        </w:rPr>
        <w:t>.4 ή η αυξημένη αποζημίωση βάσει ΣΣΕ, Κανονισμού Εργασίας,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9.</w:t>
        <w:tab/>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rPr>
        <w:t xml:space="preserve">Άδεια </w:t>
      </w:r>
      <w:bookmarkStart w:id="5" w:name="_Hlk161051396"/>
      <w:r>
        <w:rPr>
          <w:rFonts w:cs="DejaVu Sans Condensed" w:ascii="DejaVu Sans Condensed" w:hAnsi="DejaVu Sans Condensed"/>
          <w:b/>
          <w:bCs/>
          <w:i/>
          <w:iCs/>
          <w:sz w:val="18"/>
          <w:szCs w:val="18"/>
        </w:rPr>
        <w:t xml:space="preserve">διάρκεια – τρόπος και χρόνος χορήγησης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88/1999(ΚΕΦΑΛΑΙΟ Α άρθρα 210 έως και 216 και άρθρα 1, 2, 3, 4 &amp; 5 του ΑΝ 539/1945 &amp; άρθρο 8 Ν. 549/1977 – άρθρο 7 ΕΓΣΣΕ 1976), όπως ισχύουν.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t xml:space="preserve">ΑΡΓΙΕΣ: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ΣΥΛΛΟΓΙΚΗ ΡΥΘΜΙΣΗ ΠΟΥ ΕΦΑΡΜΟΖΕΤΑΙ: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Εφαρμόζεται ο Κατώτατος Μισθός του άρθρου 103 ν. 4172/2013 &amp; άρθρο 134 ΠΔ 80/2022, όπως ισχύει ως προς τα μισθολογικά και ως προς τα θεσμικά η Εθνική Συλλογική Σύμβαση Εργασίας (Ε.Γ.Σ.Σ.Ε.), μέχρι την σύναψη και επέκταση ισχύος κλαδικής ΣΣΕ, η οποία τίθεται αμελλητί σε ισχύ.</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t>ΠΡΟΣΩΠΙΚΑ ΔΕΔΟΜΕΝΑ: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t>ΛΟΙΠΕΣ ΥΠΟΧΡΕΩΣΕΙΣ {_</w:t>
      </w:r>
      <w:r>
        <w:rPr>
          <w:rFonts w:cs="DejaVu Sans Condensed" w:ascii="DejaVu Sans Condensed" w:hAnsi="DejaVu Sans Condensed"/>
          <w:b/>
          <w:bCs/>
          <w:sz w:val="18"/>
          <w:szCs w:val="18"/>
          <w:lang w:val="en-US"/>
        </w:rPr>
        <w:t>TYPOS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GENIKH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CAPITAL</w:t>
      </w:r>
      <w:r>
        <w:rPr>
          <w:rFonts w:cs="DejaVu Sans Condensed" w:ascii="DejaVu Sans Condensed" w:hAnsi="DejaVu Sans Condensed"/>
          <w:b/>
          <w:bCs/>
          <w:sz w:val="18"/>
          <w:szCs w:val="18"/>
        </w:rPr>
        <w:t xml:space="preserve">} – </w:t>
      </w:r>
      <w:r>
        <w:rPr>
          <w:rFonts w:cs="DejaVu Sans Condensed" w:ascii="DejaVu Sans Condensed" w:hAnsi="DejaVu Sans Condensed"/>
          <w:b/>
          <w:bCs/>
          <w:sz w:val="18"/>
          <w:szCs w:val="18"/>
        </w:rPr>
        <w:t>ΨΗΦΙΑΚΗ ΚΑΡΤΑ ΕΡΓΑΣΙΑΣ</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w:t>
      </w:r>
      <w:r>
        <w:rPr>
          <w:rFonts w:cs="DejaVu Sans Condensed" w:ascii="DejaVu Sans Condensed" w:hAnsi="DejaVu Sans Condensed"/>
          <w:sz w:val="18"/>
          <w:szCs w:val="18"/>
        </w:rPr>
        <w:t>ων</w:t>
      </w:r>
      <w:r>
        <w:rPr>
          <w:rFonts w:cs="DejaVu Sans Condensed" w:ascii="DejaVu Sans Condensed" w:hAnsi="DejaVu Sans Condensed"/>
          <w:sz w:val="18"/>
          <w:szCs w:val="18"/>
        </w:rPr>
        <w:t xml:space="preserve"> άρθρ</w:t>
      </w:r>
      <w:r>
        <w:rPr>
          <w:rFonts w:cs="DejaVu Sans Condensed" w:ascii="DejaVu Sans Condensed" w:hAnsi="DejaVu Sans Condensed"/>
          <w:sz w:val="18"/>
          <w:szCs w:val="18"/>
        </w:rPr>
        <w:t>ων</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rPr>
        <w:t>69 -</w:t>
      </w:r>
      <w:r>
        <w:rPr>
          <w:rFonts w:cs="DejaVu Sans Condensed" w:ascii="DejaVu Sans Condensed" w:hAnsi="DejaVu Sans Condensed"/>
          <w:sz w:val="18"/>
          <w:szCs w:val="18"/>
        </w:rPr>
        <w:t>7</w:t>
      </w:r>
      <w:r>
        <w:rPr>
          <w:rFonts w:cs="DejaVu Sans Condensed" w:ascii="DejaVu Sans Condensed" w:hAnsi="DejaVu Sans Condensed"/>
          <w:sz w:val="18"/>
          <w:szCs w:val="18"/>
        </w:rPr>
        <w:t>4</w:t>
      </w:r>
      <w:r>
        <w:rPr>
          <w:rFonts w:cs="DejaVu Sans Condensed" w:ascii="DejaVu Sans Condensed" w:hAnsi="DejaVu Sans Condensed"/>
          <w:sz w:val="18"/>
          <w:szCs w:val="18"/>
        </w:rPr>
        <w:t xml:space="preserve"> του Π.Δ. 80/2022, συντάχθηκε εις διπλούν, διαβάσθηκε, βεβαιώθηκε και υπογράφηκε από τα συμβαλλόμενα μέρη λαμβάνοντας έκαστος των συμβαλλομένων μερών από </w:t>
      </w:r>
      <w:r>
        <w:rPr>
          <w:rFonts w:cs="DejaVu Sans Condensed" w:ascii="DejaVu Sans Condensed" w:hAnsi="DejaVu Sans Condensed"/>
          <w:sz w:val="18"/>
          <w:szCs w:val="18"/>
        </w:rPr>
        <w:t>1904</w:t>
      </w:r>
      <w:r>
        <w:rPr>
          <w:rFonts w:cs="DejaVu Sans Condensed" w:ascii="DejaVu Sans Condensed" w:hAnsi="DejaVu Sans Condensed"/>
          <w:sz w:val="18"/>
          <w:szCs w:val="18"/>
        </w:rPr>
        <w:t>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1"/>
      <w:gridCol w:w="1268"/>
    </w:tblGrid>
    <w:tr>
      <w:trPr>
        <w:trHeight w:val="57" w:hRule="exact"/>
      </w:trPr>
      <w:tc>
        <w:tcPr>
          <w:tcW w:w="9021"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8"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1"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8"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7</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1"/>
      <w:gridCol w:w="1268"/>
    </w:tblGrid>
    <w:tr>
      <w:trPr>
        <w:trHeight w:val="57" w:hRule="exact"/>
      </w:trPr>
      <w:tc>
        <w:tcPr>
          <w:tcW w:w="9021"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8"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1"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8"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7</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link w:val="Header"/>
    <w:uiPriority w:val="99"/>
    <w:qFormat/>
    <w:rsid w:val="002b5881"/>
    <w:rPr/>
  </w:style>
  <w:style w:type="character" w:styleId="Char2" w:customStyle="1">
    <w:name w:val="Υποσέλιδο Char"/>
    <w:basedOn w:val="DefaultParagraphFont"/>
    <w:link w:val="Footer"/>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Footer">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Contents">
    <w:name w:val="List Contents"/>
    <w:basedOn w:val="Normal"/>
    <w:qFormat/>
    <w:pPr>
      <w:ind w:left="567" w:hanging="0"/>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2227</TotalTime>
  <Application>LibreOffice/7.3.7.2$Linux_X86_64 LibreOffice_project/30$Build-2</Application>
  <AppVersion>15.0000</AppVersion>
  <Pages>8</Pages>
  <Words>3703</Words>
  <Characters>24483</Characters>
  <CharactersWithSpaces>28202</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2026-02-03T23:10:01Z</dcterms:modified>
  <cp:revision>113</cp:revision>
  <dc:subject/>
  <dc:title/>
</cp:coreProperties>
</file>

<file path=docProps/custom.xml><?xml version="1.0" encoding="utf-8"?>
<Properties xmlns="http://schemas.openxmlformats.org/officeDocument/2006/custom-properties" xmlns:vt="http://schemas.openxmlformats.org/officeDocument/2006/docPropsVTypes"/>
</file>