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που εδρεύει στο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ODOS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(ΔΟΥ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DOY_ETAIREIAS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 οποία εκπροσωπείται νομίμως από τον/την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ONOMA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{_PATRONYMO_EKPROSOPOY}</w:t>
      </w:r>
      <w:r>
        <w:rPr>
          <w:rFonts w:cs="DejaVu Sans Condensed" w:ascii="DejaVu Sans Condensed" w:hAnsi="DejaVu Sans Condensed"/>
          <w:sz w:val="18"/>
          <w:szCs w:val="18"/>
        </w:rPr>
        <w:t xml:space="preserve">, κάτοχο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 xml:space="preserve">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PATRONYMO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ODOS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ERGAZOMENOY</w:t>
      </w:r>
      <w:r>
        <w:rPr>
          <w:rFonts w:cs="DejaVu Sans Condensed" w:ascii="DejaVu Sans Condensed" w:hAnsi="DejaVu Sans Condensed"/>
          <w:b/>
          <w:bCs/>
          <w:i/>
          <w:i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κάτοχος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r>
      <w:r>
        <w:rPr>
          <w:rFonts w:cs="DejaVu Sans Condensed" w:ascii="DejaVu Sans Condensed" w:hAnsi="DejaVu Sans Condensed"/>
          <w:b/>
          <w:sz w:val="18"/>
          <w:szCs w:val="18"/>
          <w:u w:val="single"/>
        </w:rPr>
        <w:t>ΕΙΔΟΣ ΣΥΜΒΑΣΗΣ - ΔΙΑΡΚΕΙΑ ΣΥΜΒΑΣΗΣ:</w:t>
      </w:r>
      <w:r>
        <w:rPr>
          <w:rFonts w:cs="DejaVu Sans Condensed" w:ascii="DejaVu Sans Condensed" w:hAnsi="DejaVu Sans Condensed"/>
          <w:b/>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r>
      <w:r>
        <w:rPr>
          <w:rFonts w:cs="DejaVu Sans Condensed" w:ascii="DejaVu Sans Condensed" w:hAnsi="DejaVu Sans Condensed"/>
          <w:b/>
          <w:sz w:val="18"/>
          <w:szCs w:val="18"/>
          <w:u w:val="single"/>
        </w:rPr>
        <w:t>XΡΟΝΟΣ ΑΠΑΣΧΟΛΗΣΗΣ: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Ημέρες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θα παρέχει τις υπηρεσίες τ{_GENIKH_A} απασχολούμεν{_ONOMASTIKH_K}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ημέρες την εβδομάδα, λαμβάνοντας υπόψη τις ρυθμίσεις της ισχύουσας κλαδικής εθνικής ή τοπικής ΣΣΕ.</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w:t>
      </w:r>
      <w:r>
        <w:rPr>
          <w:rFonts w:cs="DejaVu Sans Condensed" w:ascii="DejaVu Sans Condensed" w:hAnsi="DejaVu Sans Condensed"/>
          <w:i w:val="false"/>
          <w:iCs w:val="false"/>
          <w:sz w:val="18"/>
          <w:szCs w:val="18"/>
          <w:lang w:val="en-US"/>
        </w:rPr>
        <w:t>HOTEL_0001</w:t>
      </w:r>
      <w:r>
        <w:rPr>
          <w:rFonts w:cs="DejaVu Sans Condensed" w:ascii="DejaVu Sans Condensed" w:hAnsi="DejaVu Sans Condensed"/>
          <w:i w:val="false"/>
          <w:iCs w:val="false"/>
          <w:sz w:val="18"/>
          <w:szCs w:val="18"/>
        </w:rPr>
        <w:t>}</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θα ανέρχονται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ημερήσιας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{_HOTEL_0002}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Σύστημα Βαρδιών</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Εργασ</w:t>
      </w:r>
      <w:r>
        <w:rPr>
          <w:rFonts w:eastAsia="Calibri" w:cs="DejaVu Sans Condensed" w:ascii="DejaVu Sans Condensed" w:hAnsi="DejaVu Sans Condensed" w:eastAsiaTheme="minorHAnsi"/>
          <w:b/>
          <w:bCs/>
          <w:i/>
          <w:iCs/>
          <w:color w:val="auto"/>
          <w:kern w:val="0"/>
          <w:sz w:val="18"/>
          <w:szCs w:val="18"/>
          <w:u w:val="single"/>
          <w:lang w:val="el-GR" w:eastAsia="en-US" w:bidi="ar-SA"/>
        </w:rPr>
        <w:t>ία 6</w:t>
      </w:r>
      <w:r>
        <w:rPr>
          <w:rFonts w:eastAsia="Calibri" w:cs="DejaVu Sans Condensed" w:ascii="DejaVu Sans Condensed" w:hAnsi="DejaVu Sans Condensed" w:eastAsiaTheme="minorHAnsi"/>
          <w:b/>
          <w:bCs/>
          <w:i/>
          <w:iCs/>
          <w:color w:val="auto"/>
          <w:kern w:val="0"/>
          <w:sz w:val="18"/>
          <w:szCs w:val="18"/>
          <w:u w:val="single"/>
          <w:vertAlign w:val="superscript"/>
          <w:lang w:val="el-GR" w:eastAsia="en-US" w:bidi="ar-SA"/>
        </w:rPr>
        <w:t xml:space="preserve">ης </w:t>
      </w:r>
      <w:r>
        <w:rPr>
          <w:rFonts w:cs="DejaVu Sans Condensed" w:ascii="DejaVu Sans Condensed" w:hAnsi="DejaVu Sans Condensed"/>
          <w:b/>
          <w:bCs/>
          <w:i/>
          <w:iCs/>
          <w:sz w:val="18"/>
          <w:szCs w:val="18"/>
          <w:u w:val="single"/>
        </w:rPr>
        <w:t>ημ</w:t>
      </w:r>
      <w:r>
        <w:rPr>
          <w:rFonts w:eastAsia="Calibri" w:cs="DejaVu Sans Condensed" w:ascii="DejaVu Sans Condensed" w:hAnsi="DejaVu Sans Condensed" w:eastAsiaTheme="minorHAnsi"/>
          <w:b/>
          <w:bCs/>
          <w:i/>
          <w:iCs/>
          <w:color w:val="auto"/>
          <w:kern w:val="0"/>
          <w:sz w:val="18"/>
          <w:szCs w:val="18"/>
          <w:u w:val="single"/>
          <w:lang w:val="el-GR" w:eastAsia="en-US" w:bidi="ar-SA"/>
        </w:rPr>
        <w:t>έρας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{_HOTEL_0003}</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u w:val="single"/>
        </w:rPr>
        <w:t>Συνεχές ή σε διακεκομμένο</w:t>
      </w:r>
      <w:r>
        <w:rPr>
          <w:rFonts w:cs="DejaVu Sans Condensed" w:ascii="DejaVu Sans Condensed" w:hAnsi="DejaVu Sans Condensed"/>
          <w:i/>
          <w:iCs/>
          <w:sz w:val="18"/>
          <w:szCs w:val="18"/>
          <w:u w:val="single"/>
        </w:rPr>
        <w:t>:</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2.7. </w:t>
        <w:tab/>
      </w:r>
      <w:r>
        <w:rPr>
          <w:rFonts w:cs="DejaVu Sans Condensed" w:ascii="DejaVu Sans Condensed" w:hAnsi="DejaVu Sans Condensed"/>
          <w:b/>
          <w:bCs/>
          <w:i/>
          <w:iCs/>
          <w:sz w:val="18"/>
          <w:szCs w:val="18"/>
          <w:u w:val="thick"/>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 xml:space="preserve">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 και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ENTOS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ORARIOY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{_HOTEL_0005}{_HOTEL_0006}</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EYELIKTH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PROSELEYSH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2.8.</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r>
      <w:r>
        <w:rPr>
          <w:rFonts w:cs="DejaVu Sans Condensed" w:ascii="DejaVu Sans Condensed" w:hAnsi="DejaVu Sans Condensed"/>
          <w:b/>
          <w:i/>
          <w:iCs/>
          <w:sz w:val="18"/>
          <w:szCs w:val="18"/>
          <w:u w:val="thick" w:color="000000"/>
        </w:rPr>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διατηρεί ή θα διατηρεί στο μέλλον εγκαταστάσεις.  {_HOTEL_0007}</w:t>
      </w:r>
    </w:p>
    <w:tbl>
      <w:tblPr>
        <w:tblW w:w="10244" w:type="dxa"/>
        <w:jc w:val="left"/>
        <w:tblInd w:w="-747" w:type="dxa"/>
        <w:tblLayout w:type="fixed"/>
        <w:tblCellMar>
          <w:top w:w="55" w:type="dxa"/>
          <w:left w:w="55" w:type="dxa"/>
          <w:bottom w:w="55" w:type="dxa"/>
          <w:right w:w="55" w:type="dxa"/>
        </w:tblCellMar>
      </w:tblPr>
      <w:tblGrid>
        <w:gridCol w:w="5314"/>
        <w:gridCol w:w="1811"/>
        <w:gridCol w:w="1136"/>
        <w:gridCol w:w="1983"/>
      </w:tblGrid>
      <w:tr>
        <w:trPr/>
        <w:tc>
          <w:tcPr>
            <w:tcW w:w="5314" w:type="dxa"/>
            <w:tcBorders/>
          </w:tcPr>
          <w:p>
            <w:pPr>
              <w:pStyle w:val="TableContents"/>
              <w:spacing w:before="0" w:after="160"/>
              <w:rPr>
                <w:rFonts w:ascii="DejaVu Sans Condensed" w:hAnsi="DejaVu Sans Condensed" w:eastAsia="Calibri" w:cs="DejaVu Sans Condensed" w:eastAsiaTheme="minorHAnsi"/>
                <w:color w:val="auto"/>
                <w:kern w:val="0"/>
                <w:sz w:val="16"/>
                <w:szCs w:val="16"/>
                <w:lang w:val="el-GR" w:eastAsia="en-US" w:bidi="ar-SA"/>
              </w:rPr>
            </w:pPr>
            <w:r>
              <w:rPr>
                <w:rFonts w:eastAsia="Calibri" w:cs="DejaVu Sans Condensed" w:eastAsiaTheme="minorHAnsi" w:ascii="DejaVu Sans Condensed" w:hAnsi="DejaVu Sans Condensed"/>
                <w:color w:val="auto"/>
                <w:kern w:val="0"/>
                <w:sz w:val="16"/>
                <w:szCs w:val="16"/>
                <w:lang w:val="el-GR" w:eastAsia="en-US" w:bidi="ar-SA"/>
              </w:rPr>
              <w:t>{_HOTEL_0004_COL1}</w:t>
            </w:r>
          </w:p>
        </w:tc>
        <w:tc>
          <w:tcPr>
            <w:tcW w:w="1811" w:type="dxa"/>
            <w:tcBorders/>
          </w:tcPr>
          <w:p>
            <w:pPr>
              <w:pStyle w:val="TableContents"/>
              <w:spacing w:before="0" w:after="160"/>
              <w:rPr>
                <w:rFonts w:ascii="DejaVu Sans Condensed" w:hAnsi="DejaVu Sans Condensed" w:eastAsia="Calibri" w:cs="DejaVu Sans Condensed" w:eastAsiaTheme="minorHAnsi"/>
                <w:color w:val="auto"/>
                <w:kern w:val="0"/>
                <w:sz w:val="16"/>
                <w:szCs w:val="16"/>
                <w:lang w:val="el-GR" w:eastAsia="en-US" w:bidi="ar-SA"/>
              </w:rPr>
            </w:pPr>
            <w:r>
              <w:rPr>
                <w:rFonts w:eastAsia="Calibri" w:cs="DejaVu Sans Condensed" w:eastAsiaTheme="minorHAnsi" w:ascii="DejaVu Sans Condensed" w:hAnsi="DejaVu Sans Condensed"/>
                <w:color w:val="auto"/>
                <w:kern w:val="0"/>
                <w:sz w:val="16"/>
                <w:szCs w:val="16"/>
                <w:lang w:val="el-GR" w:eastAsia="en-US" w:bidi="ar-SA"/>
              </w:rPr>
              <w:t>{_HOTEL_0004_COL2}</w:t>
            </w:r>
          </w:p>
        </w:tc>
        <w:tc>
          <w:tcPr>
            <w:tcW w:w="1136" w:type="dxa"/>
            <w:tcBorders/>
          </w:tcPr>
          <w:p>
            <w:pPr>
              <w:pStyle w:val="TableContents"/>
              <w:spacing w:before="0" w:after="160"/>
              <w:jc w:val="center"/>
              <w:rPr>
                <w:rFonts w:ascii="DejaVu Sans Condensed" w:hAnsi="DejaVu Sans Condensed" w:eastAsia="Calibri" w:cs="DejaVu Sans Condensed" w:eastAsiaTheme="minorHAnsi"/>
                <w:color w:val="auto"/>
                <w:kern w:val="0"/>
                <w:sz w:val="16"/>
                <w:szCs w:val="16"/>
                <w:lang w:val="el-GR" w:eastAsia="en-US" w:bidi="ar-SA"/>
              </w:rPr>
            </w:pPr>
            <w:r>
              <w:rPr>
                <w:rFonts w:eastAsia="Calibri" w:cs="DejaVu Sans Condensed" w:eastAsiaTheme="minorHAnsi" w:ascii="DejaVu Sans Condensed" w:hAnsi="DejaVu Sans Condensed"/>
                <w:color w:val="auto"/>
                <w:kern w:val="0"/>
                <w:sz w:val="16"/>
                <w:szCs w:val="16"/>
                <w:lang w:val="el-GR" w:eastAsia="en-US" w:bidi="ar-SA"/>
              </w:rPr>
              <w:t>{_HOTEL_0004_COL3}</w:t>
            </w:r>
          </w:p>
        </w:tc>
        <w:tc>
          <w:tcPr>
            <w:tcW w:w="1983" w:type="dxa"/>
            <w:tcBorders/>
          </w:tcPr>
          <w:p>
            <w:pPr>
              <w:pStyle w:val="TableContents"/>
              <w:spacing w:before="0" w:after="160"/>
              <w:jc w:val="right"/>
              <w:rPr>
                <w:rFonts w:ascii="DejaVu Sans Condensed" w:hAnsi="DejaVu Sans Condensed" w:eastAsia="Calibri" w:cs="DejaVu Sans Condensed" w:eastAsiaTheme="minorHAnsi"/>
                <w:color w:val="auto"/>
                <w:kern w:val="0"/>
                <w:sz w:val="16"/>
                <w:szCs w:val="16"/>
                <w:lang w:val="el-GR" w:eastAsia="en-US" w:bidi="ar-SA"/>
              </w:rPr>
            </w:pPr>
            <w:r>
              <w:rPr>
                <w:rFonts w:eastAsia="Calibri" w:cs="DejaVu Sans Condensed" w:eastAsiaTheme="minorHAnsi" w:ascii="DejaVu Sans Condensed" w:hAnsi="DejaVu Sans Condensed"/>
                <w:color w:val="auto"/>
                <w:kern w:val="0"/>
                <w:sz w:val="16"/>
                <w:szCs w:val="16"/>
                <w:lang w:val="el-GR" w:eastAsia="en-US" w:bidi="ar-SA"/>
              </w:rPr>
              <w:t>{_HOTEL_0004_COL4}</w:t>
            </w:r>
          </w:p>
        </w:tc>
      </w:tr>
    </w:tbl>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auto"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auto"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r>
      <w:r>
        <w:rPr>
          <w:rFonts w:cs="DejaVu Sans Condensed" w:ascii="DejaVu Sans Condensed" w:hAnsi="DejaVu Sans Condensed"/>
          <w:b/>
          <w:sz w:val="18"/>
          <w:szCs w:val="18"/>
          <w:u w:val="thick"/>
        </w:rPr>
        <w:t>ΕΙΔΙΚΟΤΗΤΑ {</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sz w:val="18"/>
          <w:szCs w:val="18"/>
          <w:u w:val="thick"/>
        </w:rPr>
        <w:t>_</w:t>
      </w:r>
      <w:r>
        <w:rPr>
          <w:rFonts w:cs="DejaVu Sans Condensed" w:ascii="DejaVu Sans Condensed" w:hAnsi="DejaVu Sans Condensed"/>
          <w:b/>
          <w:sz w:val="18"/>
          <w:szCs w:val="18"/>
          <w:u w:val="thick"/>
          <w:lang w:val="en-US"/>
        </w:rPr>
        <w:t>CAPITAL</w:t>
      </w:r>
      <w:r>
        <w:rPr>
          <w:rFonts w:cs="DejaVu Sans Condensed" w:ascii="DejaVu Sans Condensed" w:hAnsi="DejaVu Sans Condensed"/>
          <w:b/>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 με αντικε</w:t>
      </w:r>
      <w:r>
        <w:rPr>
          <w:rFonts w:eastAsia="Calibri" w:cs="DejaVu Sans Condensed" w:ascii="DejaVu Sans Condensed" w:hAnsi="DejaVu Sans Condensed" w:eastAsiaTheme="minorHAnsi"/>
          <w:color w:val="auto"/>
          <w:kern w:val="0"/>
          <w:sz w:val="18"/>
          <w:szCs w:val="18"/>
          <w:lang w:val="el-GR" w:eastAsia="en-US" w:bidi="ar-SA"/>
        </w:rPr>
        <w:t>ίμενο {_ANTIKEIMENO}.</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sz w:val="24"/>
        </w:rPr>
      </w:pPr>
      <w:r>
        <w:rPr>
          <w:rFonts w:eastAsia="Calibri" w:cs="DejaVu Sans Condensed" w:ascii="DejaVu Sans Condensed" w:hAnsi="DejaVu Sans Condensed" w:eastAsiaTheme="minorHAnsi"/>
          <w:b/>
          <w:bCs/>
          <w:color w:val="auto"/>
          <w:kern w:val="0"/>
          <w:sz w:val="18"/>
          <w:szCs w:val="18"/>
          <w:lang w:val="el-GR" w:eastAsia="en-US" w:bidi="ar-SA"/>
        </w:rPr>
        <w:t>4.3.</w:t>
      </w:r>
      <w:r>
        <w:rPr>
          <w:rFonts w:eastAsia="Aptos" w:cs="Calibri"/>
          <w:kern w:val="2"/>
          <w:sz w:val="24"/>
          <w:szCs w:val="24"/>
          <w14:ligatures w14:val="standardContextual"/>
        </w:rPr>
        <w:t xml:space="preserve"> </w:t>
      </w:r>
      <w:r>
        <w:rPr>
          <w:rFonts w:eastAsia="Calibri" w:cs="DejaVu Sans Condensed" w:ascii="DejaVu Sans Condensed" w:hAnsi="DejaVu Sans Condensed" w:eastAsiaTheme="minorHAnsi"/>
          <w:color w:val="000000"/>
          <w:kern w:val="0"/>
          <w:sz w:val="18"/>
          <w:szCs w:val="18"/>
          <w:shd w:fill="auto" w:val="clear"/>
          <w:lang w:val="el-GR" w:eastAsia="en-US" w:bidi="ar-SA"/>
        </w:rPr>
        <w:t>Ρητά συμφωνείται ότι ο εργαζόμενος θα εκτελεί και καθήκοντα ανάλογα με τις ανάγκες της επιχείρησης, στα πλαίσια εύρυθμης λειτουργίας σε περιόδους που δεν υπάρχει πληρότητα της μονάδας.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r>
      <w:r>
        <w:rPr>
          <w:rFonts w:cs="DejaVu Sans Condensed" w:ascii="DejaVu Sans Condensed" w:hAnsi="DejaVu Sans Condensed"/>
          <w:b/>
          <w:bCs/>
          <w:sz w:val="18"/>
          <w:szCs w:val="18"/>
          <w:u w:val="thick"/>
        </w:rPr>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λήγει με την συμπλήρωση έξι (6) μηνών, ή του ¼ του χρόνου ισχύος της σύμβασης για αορίστου και ορισμένου χρόνου αντίστοιχα και συγκεκριμ</w:t>
      </w:r>
      <w:r>
        <w:rPr>
          <w:rFonts w:eastAsia="Calibri" w:cs="DejaVu Sans Condensed" w:ascii="DejaVu Sans Condensed" w:hAnsi="DejaVu Sans Condensed" w:eastAsiaTheme="minorHAnsi"/>
          <w:color w:val="auto"/>
          <w:kern w:val="0"/>
          <w:sz w:val="18"/>
          <w:szCs w:val="18"/>
          <w:lang w:val="el-GR" w:eastAsia="en-US" w:bidi="ar-SA"/>
        </w:rPr>
        <w:t>ένα την {_HMEROMHNIA_LHXHS_SYMBASHS}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r>
      <w:r>
        <w:rPr>
          <w:rFonts w:cs="DejaVu Sans Condensed" w:ascii="DejaVu Sans Condensed" w:hAnsi="DejaVu Sans Condensed"/>
          <w:b/>
          <w:sz w:val="18"/>
          <w:szCs w:val="18"/>
          <w:u w:val="thick"/>
        </w:rPr>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thick"/>
        </w:rPr>
        <w:t>Επιμίσθιο - Καταλογισμός (συμψηφισμός)</w:t>
      </w:r>
      <w:r>
        <w:rPr>
          <w:rFonts w:cs="DejaVu Sans Condensed" w:ascii="DejaVu Sans Condensed" w:hAnsi="DejaVu Sans Condensed"/>
          <w:sz w:val="18"/>
          <w:szCs w:val="18"/>
          <w:u w:val="thick"/>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val="false"/>
          <w:iCs w:val="false"/>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λαμβάνει χώρα ανάλογα με τις ανάγκες της επιχείρησης και αμείβεται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λαμβάνει χώρα ανάλογα με τις ανάγκες της επιχείρησης και αμείβεται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{_XRONOS_KATABOLHS_APODOXON}</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r>
      <w:r>
        <w:rPr>
          <w:rFonts w:cs="DejaVu Sans Condensed" w:ascii="DejaVu Sans Condensed" w:hAnsi="DejaVu Sans Condensed"/>
          <w:b/>
          <w:sz w:val="18"/>
          <w:szCs w:val="18"/>
          <w:u w:val="thick"/>
        </w:rPr>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{_ERGODOTHS_</w:t>
      </w:r>
      <w:r>
        <w:rPr>
          <w:rFonts w:cs="DejaVu Sans Condensed" w:ascii="DejaVu Sans Condensed" w:hAnsi="DejaVu Sans Condensed"/>
          <w:sz w:val="18"/>
          <w:szCs w:val="18"/>
          <w:lang w:val="en-US"/>
        </w:rPr>
        <w:t>XORIS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ARTHRO</w:t>
      </w:r>
      <w:r>
        <w:rPr>
          <w:rFonts w:cs="DejaVu Sans Condensed" w:ascii="DejaVu Sans Condensed" w:hAnsi="DejaVu Sans Condensed"/>
          <w:sz w:val="18"/>
          <w:szCs w:val="18"/>
        </w:rPr>
        <w:t xml:space="preserve">}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r>
      <w:r>
        <w:rPr>
          <w:rFonts w:cs="DejaVu Sans Condensed" w:ascii="DejaVu Sans Condensed" w:hAnsi="DejaVu Sans Condensed"/>
          <w:b/>
          <w:bCs/>
          <w:sz w:val="18"/>
          <w:szCs w:val="18"/>
          <w:u w:val="thick"/>
        </w:rPr>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αυτοδ</w:t>
      </w:r>
      <w:r>
        <w:rPr>
          <w:rFonts w:eastAsia="Calibri" w:cs="DejaVu Sans Condensed" w:ascii="DejaVu Sans Condensed" w:hAnsi="DejaVu Sans Condensed" w:eastAsiaTheme="minorHAnsi"/>
          <w:color w:val="auto"/>
          <w:kern w:val="0"/>
          <w:sz w:val="18"/>
          <w:szCs w:val="18"/>
          <w:lang w:val="el-GR" w:eastAsia="en-US" w:bidi="ar-SA"/>
        </w:rPr>
        <w:t xml:space="preserve">ίκαια με την ημερομηνία λήξης και </w:t>
      </w:r>
      <w:r>
        <w:rPr>
          <w:rFonts w:cs="DejaVu Sans Condensed" w:ascii="DejaVu Sans Condensed" w:hAnsi="DejaVu Sans Condensed"/>
          <w:sz w:val="18"/>
          <w:szCs w:val="18"/>
        </w:rPr>
        <w:t>ιδίως με καταγγελία της, από κάθε συμβαλλόμενο μέρος, διεπόμενη από τις εκάστοτε ισχύουσες διατάξεις της εργατικής νομοθεσίας, {_HOTEL_0008_1} {</w:t>
      </w:r>
      <w:r>
        <w:rPr>
          <w:rFonts w:cs="DejaVu Sans Condensed" w:ascii="DejaVu Sans Condensed" w:hAnsi="DejaVu Sans Condensed"/>
          <w:i/>
          <w:iCs/>
          <w:sz w:val="18"/>
          <w:szCs w:val="18"/>
          <w:u w:val="single"/>
        </w:rPr>
        <w:t>_HOTEL_0008_2</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u w:val="thick"/>
        </w:rPr>
        <w:t>Καταγγελία της σύμβασης από την {_</w:t>
      </w:r>
      <w:r>
        <w:rPr>
          <w:rFonts w:cs="DejaVu Sans Condensed" w:ascii="DejaVu Sans Condensed" w:hAnsi="DejaVu Sans Condensed"/>
          <w:b/>
          <w:bCs/>
          <w:i/>
          <w:iCs/>
          <w:sz w:val="18"/>
          <w:szCs w:val="18"/>
          <w:u w:val="thick"/>
          <w:lang w:val="en-US"/>
        </w:rPr>
        <w:t>ETAIREIA</w:t>
      </w:r>
      <w:r>
        <w:rPr>
          <w:rFonts w:cs="DejaVu Sans Condensed" w:ascii="DejaVu Sans Condensed" w:hAnsi="DejaVu Sans Condensed"/>
          <w:b/>
          <w:bCs/>
          <w:i/>
          <w:iCs/>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w:t>
      </w:r>
      <w:r>
        <w:rPr>
          <w:rFonts w:cs="DejaVu Sans Condensed" w:ascii="DejaVu Sans Condensed" w:hAnsi="DejaVu Sans Condensed"/>
          <w:sz w:val="18"/>
          <w:szCs w:val="18"/>
        </w:rPr>
        <w:t>)</w:t>
        <w:tab/>
        <w:t>Ειδικ</w:t>
      </w:r>
      <w:r>
        <w:rPr>
          <w:rFonts w:eastAsia="Calibri" w:cs="DejaVu Sans Condensed" w:ascii="DejaVu Sans Condensed" w:hAnsi="DejaVu Sans Condensed" w:eastAsiaTheme="minorHAnsi"/>
          <w:color w:val="auto"/>
          <w:kern w:val="0"/>
          <w:sz w:val="18"/>
          <w:szCs w:val="18"/>
          <w:lang w:val="el-GR" w:eastAsia="en-US" w:bidi="ar-SA"/>
        </w:rPr>
        <w:t>ότερα συμφωνείται:</w:t>
      </w:r>
    </w:p>
    <w:p>
      <w:pPr>
        <w:pStyle w:val="Normal"/>
        <w:widowControl/>
        <w:suppressAutoHyphens w:val="true"/>
        <w:bidi w:val="0"/>
        <w:spacing w:lineRule="auto" w:line="259" w:before="0" w:after="160"/>
        <w:ind w:left="0" w:right="-1191" w:hanging="0"/>
        <w:jc w:val="both"/>
        <w:rPr>
          <w:rFonts w:ascii="DejaVu Sans Condensed" w:hAnsi="DejaVu Sans Condensed" w:cs="DejaVu Sans Condensed"/>
          <w:sz w:val="18"/>
          <w:szCs w:val="18"/>
        </w:rPr>
      </w:pPr>
      <w:r>
        <w:rPr>
          <w:rFonts w:eastAsia="Calibri" w:cs="DejaVu Sans Condensed" w:ascii="DejaVu Sans Condensed" w:hAnsi="DejaVu Sans Condensed" w:eastAsiaTheme="minorHAnsi"/>
          <w:b/>
          <w:bCs/>
          <w:i/>
          <w:iCs/>
          <w:color w:val="auto"/>
          <w:kern w:val="0"/>
          <w:sz w:val="18"/>
          <w:szCs w:val="18"/>
          <w:lang w:val="el-GR" w:eastAsia="en-US" w:bidi="ar-SA"/>
        </w:rPr>
        <w:t>α</w:t>
      </w:r>
      <w:r>
        <w:rPr>
          <w:rFonts w:eastAsia="Calibri" w:cs="DejaVu Sans Condensed" w:ascii="DejaVu Sans Condensed" w:hAnsi="DejaVu Sans Condensed" w:eastAsiaTheme="minorHAnsi"/>
          <w:b w:val="false"/>
          <w:bCs w:val="false"/>
          <w:i/>
          <w:iCs/>
          <w:color w:val="auto"/>
          <w:kern w:val="0"/>
          <w:sz w:val="18"/>
          <w:szCs w:val="18"/>
          <w:lang w:val="el-GR" w:eastAsia="en-US" w:bidi="ar-SA"/>
        </w:rPr>
        <w:t>)</w:t>
      </w:r>
      <w:r>
        <w:rPr>
          <w:rFonts w:eastAsia="Calibri" w:cs="DejaVu Sans Condensed" w:ascii="DejaVu Sans Condensed" w:hAnsi="DejaVu Sans Condensed" w:eastAsiaTheme="minorHAnsi"/>
          <w:b w:val="false"/>
          <w:bCs w:val="false"/>
          <w:color w:val="auto"/>
          <w:kern w:val="0"/>
          <w:sz w:val="18"/>
          <w:szCs w:val="18"/>
          <w:lang w:val="el-GR" w:eastAsia="en-US" w:bidi="ar-SA"/>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Κατά την διάρκεια έως τριών  (3) πρώτων μηνών της εργασιακής σχέσης, σε συνδυασμό με τον όρο περί δοκιμαστικής περιόδου και το άρθρο 70Α του ΚΑΕΔ (ΠΔ 80/2022) για τους εποχικούς εργαζόμενους, αυτή δύναται να λυθεί χωρίς αποζημίωση, εκ μέρους του καταγγέλλοντος, με την προϋπόθεση έγγραφης προειδοποίησης   ενός (1) μηνός  είτε εκ μέρους {_ERGODOTHS_GENIKH} είτε εκ μέρους τ{_GENIKH_A} {_TYPOS_ERG_GENIKH}. </w:t>
      </w:r>
    </w:p>
    <w:p>
      <w:pPr>
        <w:pStyle w:val="Normal"/>
        <w:widowControl/>
        <w:suppressAutoHyphens w:val="true"/>
        <w:bidi w:val="0"/>
        <w:spacing w:lineRule="auto" w:line="259" w:before="0" w:after="160"/>
        <w:ind w:left="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i/>
          <w:iCs/>
          <w:color w:val="auto"/>
          <w:kern w:val="0"/>
          <w:sz w:val="18"/>
          <w:szCs w:val="18"/>
          <w:lang w:val="el-GR" w:eastAsia="en-US" w:bidi="ar-SA"/>
        </w:rPr>
        <w:t>β</w:t>
      </w:r>
      <w:r>
        <w:rPr>
          <w:rFonts w:eastAsia="Calibri" w:cs="DejaVu Sans Condensed" w:ascii="DejaVu Sans Condensed" w:hAnsi="DejaVu Sans Condensed" w:eastAsiaTheme="minorHAnsi"/>
          <w:i/>
          <w:iCs/>
          <w:color w:val="auto"/>
          <w:kern w:val="0"/>
          <w:sz w:val="18"/>
          <w:szCs w:val="18"/>
          <w:lang w:val="el-GR" w:eastAsia="en-US" w:bidi="ar-SA"/>
        </w:rPr>
        <w:t>)</w:t>
      </w:r>
      <w:r>
        <w:rPr>
          <w:rFonts w:eastAsia="Calibri" w:cs="DejaVu Sans Condensed" w:ascii="DejaVu Sans Condensed" w:hAnsi="DejaVu Sans Condensed" w:eastAsiaTheme="minorHAnsi"/>
          <w:color w:val="auto"/>
          <w:kern w:val="0"/>
          <w:sz w:val="18"/>
          <w:szCs w:val="18"/>
          <w:lang w:val="el-GR" w:eastAsia="en-US" w:bidi="ar-SA"/>
        </w:rPr>
        <w:t xml:space="preserve"> μετά την συμπλήρωση έξη (6) μηνών της εργασιακής σχέσης, σε συνδυασμό με τον όρο περί δοκιμαστικής περιόδου και το άρθρο 70Α του ΚΑΕΔ (ΠΔ 80/2022)  και τα πιο πάνω i) του παρόντος όρου 8, για τους εργαζόμενους συμβάσεις ορισμένου χρόνου μεγαλύτερης διάρκειας μέχρι 3 έτη, αυτή δύναται να λυθεί χωρίς αποζημίωση, εκ μέρους του καταγγέλλοντος, με την προϋπόθεση έγγραφης προειδοποίησης   τριών (3) μηνών  είτε εκ μέρους {_ERGODOTHS_GENIKH} είτε εκ μέρους τ{_GENIKH_A} {_TYPOS_ERG_GENIKH}. </w:t>
      </w:r>
    </w:p>
    <w:p>
      <w:pPr>
        <w:pStyle w:val="Normal"/>
        <w:widowControl/>
        <w:suppressAutoHyphens w:val="true"/>
        <w:bidi w:val="0"/>
        <w:spacing w:lineRule="auto" w:line="259" w:before="0" w:after="160"/>
        <w:ind w:left="-737"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Iii</w:t>
      </w:r>
      <w:r>
        <w:rPr>
          <w:rFonts w:eastAsia="Calibri" w:cs="DejaVu Sans Condensed" w:ascii="DejaVu Sans Condensed" w:hAnsi="DejaVu Sans Condensed" w:eastAsiaTheme="minorHAnsi"/>
          <w:color w:val="auto"/>
          <w:kern w:val="0"/>
          <w:sz w:val="18"/>
          <w:szCs w:val="18"/>
          <w:lang w:val="el-GR" w:eastAsia="en-US" w:bidi="ar-SA"/>
        </w:rPr>
        <w:t>)</w:t>
        <w:tab/>
        <w:t>Ρητά συμφωνείται ότι σε περίπτωση πρόωρης καταγγελίας της σύμβασης ορισμένου χρόνου έχει εφαρμογή το άρθρο 40 του Ν. 3986/2011, σύμφωνα με το οποίο η σύμβαση εργασίας ορισμένου χρόνου, ως προς την αποζημίωση απόλυσης για τις συμβάσεις εργασίας αορίστου χρόνου, μετατρέπεται αυτοδικαίως σε σύμβαση εργασίας αορίστου χρόνου κατά την καταγγελία.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w:t>
      </w:r>
      <w:r>
        <w:rPr>
          <w:rFonts w:eastAsia="Calibri" w:cs="DejaVu Sans Condensed" w:ascii="DejaVu Sans Condensed" w:hAnsi="DejaVu Sans Condensed" w:eastAsiaTheme="minorHAnsi"/>
          <w:color w:val="auto"/>
          <w:kern w:val="0"/>
          <w:sz w:val="18"/>
          <w:szCs w:val="18"/>
          <w:lang w:val="el-GR" w:eastAsia="en-US" w:bidi="ar-SA"/>
        </w:rPr>
        <w:t>ό</w:t>
      </w:r>
      <w:r>
        <w:rPr>
          <w:rFonts w:cs="DejaVu Sans Condensed" w:ascii="DejaVu Sans Condensed" w:hAnsi="DejaVu Sans Condensed"/>
          <w:sz w:val="18"/>
          <w:szCs w:val="18"/>
        </w:rPr>
        <w:t>λια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ζ)</w:t>
        <w:tab/>
        <w:t>κατ</w:t>
      </w:r>
      <w:r>
        <w:rPr>
          <w:rFonts w:eastAsia="Calibri" w:cs="DejaVu Sans Condensed" w:ascii="DejaVu Sans Condensed" w:hAnsi="DejaVu Sans Condensed" w:eastAsiaTheme="minorHAnsi"/>
          <w:color w:val="auto"/>
          <w:kern w:val="0"/>
          <w:sz w:val="18"/>
          <w:szCs w:val="18"/>
          <w:lang w:val="el-GR" w:eastAsia="en-US" w:bidi="ar-SA"/>
        </w:rPr>
        <w:t>ά σύστημα ή/και με σόλιο τροπο καταστρατήγηση του συστήματος της ψηφιακής κάρτας.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u w:val="thick"/>
        </w:rPr>
        <w:t>Καταγγελία της σύμβασης από τ{_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w:t>
      </w:r>
      <w:r>
        <w:rPr>
          <w:rFonts w:cs="DejaVu Sans Condensed" w:ascii="DejaVu Sans Condensed" w:hAnsi="DejaVu Sans Condensed"/>
          <w:b/>
          <w:bCs/>
          <w:i/>
          <w:iCs/>
          <w:sz w:val="18"/>
          <w:szCs w:val="18"/>
          <w:u w:val="thick"/>
        </w:rPr>
        <w:t>} {_</w:t>
      </w:r>
      <w:r>
        <w:rPr>
          <w:rFonts w:cs="DejaVu Sans Condensed" w:ascii="DejaVu Sans Condensed" w:hAnsi="DejaVu Sans Condensed"/>
          <w:b/>
          <w:bCs/>
          <w:i/>
          <w:iCs/>
          <w:sz w:val="18"/>
          <w:szCs w:val="18"/>
          <w:u w:val="thick"/>
          <w:lang w:val="en-US"/>
        </w:rPr>
        <w:t>TYPOS</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ERG</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thick"/>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σύμφωνα με τα παραπάνω 8.1. – 8.4 ή η αυξημένη αποζημίωση βάσει ΣΣΕ </w:t>
      </w:r>
      <w:r>
        <w:rPr>
          <w:rFonts w:eastAsia="Calibri" w:cs="DejaVu Sans Condensed" w:ascii="DejaVu Sans Condensed" w:hAnsi="DejaVu Sans Condensed" w:eastAsiaTheme="minorHAnsi"/>
          <w:color w:val="auto"/>
          <w:kern w:val="0"/>
          <w:sz w:val="18"/>
          <w:szCs w:val="18"/>
          <w:lang w:val="el-GR" w:eastAsia="en-US" w:bidi="ar-SA"/>
        </w:rPr>
        <w:t xml:space="preserve">ή </w:t>
      </w:r>
      <w:r>
        <w:rPr>
          <w:rFonts w:cs="DejaVu Sans Condensed" w:ascii="DejaVu Sans Condensed" w:hAnsi="DejaVu Sans Condensed"/>
          <w:sz w:val="18"/>
          <w:szCs w:val="18"/>
        </w:rPr>
        <w:t xml:space="preserve">Κανονισμού Εργασίας </w:t>
      </w:r>
      <w:r>
        <w:rPr>
          <w:rFonts w:eastAsia="Calibri" w:cs="DejaVu Sans Condensed" w:ascii="DejaVu Sans Condensed" w:hAnsi="DejaVu Sans Condensed" w:eastAsiaTheme="minorHAnsi"/>
          <w:color w:val="auto"/>
          <w:kern w:val="0"/>
          <w:sz w:val="18"/>
          <w:szCs w:val="18"/>
          <w:lang w:val="el-GR" w:eastAsia="en-US" w:bidi="ar-SA"/>
        </w:rPr>
        <w:t>ή</w:t>
      </w:r>
      <w:r>
        <w:rPr>
          <w:rFonts w:cs="DejaVu Sans Condensed" w:ascii="DejaVu Sans Condensed" w:hAnsi="DejaVu Sans Condensed"/>
          <w:sz w:val="18"/>
          <w:szCs w:val="18"/>
        </w:rPr>
        <w:t xml:space="preserve">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lineRule="auto" w:line="360"/>
        <w:ind w:left="-709" w:right="-1186" w:hanging="0"/>
        <w:jc w:val="both"/>
        <w:rPr/>
      </w:pPr>
      <w:r>
        <w:rPr>
          <w:rFonts w:cs="DejaVu Sans Condensed" w:ascii="DejaVu Sans Condensed" w:hAnsi="DejaVu Sans Condensed"/>
          <w:b/>
          <w:bCs/>
          <w:sz w:val="18"/>
          <w:szCs w:val="18"/>
        </w:rPr>
        <w:t>9.</w:t>
        <w:tab/>
      </w:r>
      <w:r>
        <w:rPr>
          <w:rFonts w:cs="DejaVu Sans Condensed" w:ascii="DejaVu Sans Condensed" w:hAnsi="DejaVu Sans Condensed"/>
          <w:b/>
          <w:bCs/>
          <w:sz w:val="18"/>
          <w:szCs w:val="18"/>
          <w:u w:val="thick"/>
        </w:rPr>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spacing w:lineRule="auto" w:line="360"/>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u w:val="thick"/>
        </w:rPr>
        <w:t xml:space="preserve">Άδεια </w:t>
      </w:r>
      <w:bookmarkStart w:id="5" w:name="_Hlk161051396"/>
      <w:r>
        <w:rPr>
          <w:rFonts w:cs="DejaVu Sans Condensed" w:ascii="DejaVu Sans Condensed" w:hAnsi="DejaVu Sans Condensed"/>
          <w:b/>
          <w:bCs/>
          <w:i/>
          <w:iCs/>
          <w:sz w:val="18"/>
          <w:szCs w:val="18"/>
          <w:u w:val="thick"/>
        </w:rPr>
        <w:t>διάρκεια – τρόπος και χρόνος χορήγησης</w:t>
      </w:r>
      <w:r>
        <w:rPr>
          <w:rFonts w:cs="DejaVu Sans Condensed" w:ascii="DejaVu Sans Condensed" w:hAnsi="DejaVu Sans Condensed"/>
          <w:b/>
          <w:bCs/>
          <w:i/>
          <w:iCs/>
          <w:sz w:val="18"/>
          <w:szCs w:val="18"/>
        </w:rPr>
        <w:t xml:space="preserve">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 (ΚΕΦΑΛΑΙΟ Α άρθρα 210 έως και 216 και άρθρα 1, 2, 3, 4 &amp; 5 του ΑΝ 539/1945 &amp; άρθρο 8 Ν. 549/1977 – άρθρο 7 ΕΓΣΣΕ 1976), όπως ισχύουν και η τυχ</w:t>
      </w:r>
      <w:r>
        <w:rPr>
          <w:rFonts w:eastAsia="Calibri" w:cs="DejaVu Sans Condensed" w:ascii="DejaVu Sans Condensed" w:hAnsi="DejaVu Sans Condensed" w:eastAsiaTheme="minorHAnsi"/>
          <w:color w:val="auto"/>
          <w:kern w:val="0"/>
          <w:sz w:val="18"/>
          <w:szCs w:val="18"/>
          <w:lang w:val="el-GR" w:eastAsia="en-US" w:bidi="ar-SA"/>
        </w:rPr>
        <w:t>όν ισχύουσα κλαδική ή τοπική ΣΣΕ</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u w:val="thick"/>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r>
      <w:r>
        <w:rPr>
          <w:rFonts w:cs="DejaVu Sans Condensed" w:ascii="DejaVu Sans Condensed" w:hAnsi="DejaVu Sans Condensed"/>
          <w:b/>
          <w:bCs/>
          <w:sz w:val="18"/>
          <w:szCs w:val="18"/>
          <w:u w:val="thick"/>
        </w:rPr>
        <w:t>ΑΡΓΙΕΣ:</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w:t>
      </w:r>
      <w:r>
        <w:rPr>
          <w:rFonts w:cs="DejaVu Sans Condensed" w:ascii="DejaVu Sans Condensed" w:hAnsi="DejaVu Sans Condensed"/>
          <w:b/>
          <w:bCs/>
          <w:i/>
          <w:iCs/>
          <w:sz w:val="18"/>
          <w:szCs w:val="18"/>
          <w:u w:val="thick"/>
        </w:rPr>
        <w:t>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w:t>
        <w:tab/>
      </w:r>
      <w:r>
        <w:rPr>
          <w:rFonts w:cs="DejaVu Sans Condensed" w:ascii="DejaVu Sans Condensed" w:hAnsi="DejaVu Sans Condensed"/>
          <w:b/>
          <w:bCs/>
          <w:sz w:val="18"/>
          <w:szCs w:val="18"/>
          <w:u w:val="thick"/>
        </w:rPr>
        <w:t>ΣΥΛΛΟΓΙΚΗ ΡΥΘΜΙΣΗ ΠΟΥ ΕΦΑΡΜΟΖΕΤΑΙ:</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Εφαρμόζεται ο Κατώτατος Μισθός του άρθρου 103 ν. 4172/2013 &amp; άρθρο 134 ΠΔ 80/2022, όπως ισχύει ως προς τα μισθολογικά και ως προς τα θεσμικά η Εθνική Συλλογική Σύμβαση Εργασίας (Ε.Γ.Σ.Σ.Ε.), μέχρι την σύναψη και επέκταση ισχύος κλαδικής ΣΣΕ, η οποία τίθεται αμελλητί σε ισχύ.</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r>
      <w:r>
        <w:rPr>
          <w:rFonts w:cs="DejaVu Sans Condensed" w:ascii="DejaVu Sans Condensed" w:hAnsi="DejaVu Sans Condensed"/>
          <w:b/>
          <w:bCs/>
          <w:sz w:val="18"/>
          <w:szCs w:val="18"/>
          <w:u w:val="thick"/>
        </w:rPr>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t xml:space="preserve"> </w:t>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t xml:space="preserve">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r>
      <w:r>
        <w:rPr>
          <w:rFonts w:cs="DejaVu Sans Condensed" w:ascii="DejaVu Sans Condensed" w:hAnsi="DejaVu Sans Condensed"/>
          <w:b/>
          <w:bCs/>
          <w:sz w:val="18"/>
          <w:szCs w:val="18"/>
          <w:u w:val="thick"/>
        </w:rPr>
        <w:t>ΠΡΟΣΩΠΙΚΑ ΔΕΔΟΜΕΝΑ – ΒΙΑ ΚΑΙ ΠΑΡΕΝΟΧΛΗΣΗ: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 (GDPR)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 xml:space="preserve">13.4. Βία &amp; Παρενόχληση. </w:t>
      </w:r>
      <w:r>
        <w:rPr>
          <w:rFonts w:eastAsia="Calibri" w:cs="DejaVu Sans Condensed" w:ascii="DejaVu Sans Condensed" w:hAnsi="DejaVu Sans Condensed" w:eastAsiaTheme="minorHAnsi"/>
          <w:color w:val="auto"/>
          <w:kern w:val="0"/>
          <w:sz w:val="18"/>
          <w:szCs w:val="18"/>
          <w:lang w:val="el-GR" w:eastAsia="en-US" w:bidi="ar-SA"/>
        </w:rPr>
        <w:t xml:space="preserve">Η {_ETAIREIA} έχει υιοθετήσει πολιτικές μηδενικής ανοχής για την πρόληψη και καταπολέμηση της Βίας &amp; Παρενόχλησης εντός της επιχείρησης σύμφωνα με το άρθρο 9 του ν. 4808/2021 και το οποίο ενσωματώθηκε στο άρθρο 61 του ΠΔ 80/2022 (ΚΑΕΔ) και πολιτικές για την διαχείριση εσωτερικών καταγγελιών για περιστατικά βίας &amp; παρενόχλησης  σύμφωνα με το άρθρο 10 του ν. 4808/2021 και το οποίο ενσωματώθηκε στο άρθρο 62 του ΠΔ 80/2022 (ΚΑΕΔ). </w:t>
      </w:r>
    </w:p>
    <w:p>
      <w:pPr>
        <w:pStyle w:val="Normal"/>
        <w:widowControl/>
        <w:suppressAutoHyphens w:val="true"/>
        <w:bidi w:val="0"/>
        <w:spacing w:lineRule="auto" w:line="259" w:before="0" w:after="160"/>
        <w:ind w:left="-680" w:right="-1304"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Έχω λάβει γνώση τις πολιτικές της εταιρείας για απαγόρευσης παραβίασης, βίας και παρενόχλησης.</w:t>
      </w:r>
      <w:r>
        <w:rPr>
          <w:sz w:val="24"/>
        </w:rPr>
        <w:t xml:space="preserve"> </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Με τα άρθρα 9 και 10 του ν. 4808/2021 κυρώνεται η Σύμβαση 190 της Διεθνούς Οργάνωσης Εργασίας για την εξάλειψη της βίας και παρενόχλησης στον κόσμο της εργασίας, που υιοθετήθηκε από τη Συνδιάσκεψη της Διεθνούς Οργάνωσης Εργασίας στη Γενεύη, την 21η Ιουνίου 2019,</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r>
      <w:r>
        <w:rPr>
          <w:rFonts w:cs="DejaVu Sans Condensed" w:ascii="DejaVu Sans Condensed" w:hAnsi="DejaVu Sans Condensed"/>
          <w:b/>
          <w:bCs/>
          <w:sz w:val="18"/>
          <w:szCs w:val="18"/>
          <w:u w:val="thick"/>
        </w:rPr>
        <w:t>ΛΟΙΠΕΣ ΥΠΟΧΡΕΩΣΕΙΣ {_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CAPITAL</w:t>
      </w:r>
      <w:r>
        <w:rPr>
          <w:rFonts w:cs="DejaVu Sans Condensed" w:ascii="DejaVu Sans Condensed" w:hAnsi="DejaVu Sans Condensed"/>
          <w:b/>
          <w:bCs/>
          <w:sz w:val="18"/>
          <w:szCs w:val="18"/>
          <w:u w:val="thick"/>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u w:val="thick"/>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widowControl/>
        <w:suppressAutoHyphens w:val="true"/>
        <w:bidi w:val="0"/>
        <w:spacing w:lineRule="auto" w:line="259" w:before="0" w:after="160"/>
        <w:ind w:left="-680" w:right="0" w:hanging="0"/>
        <w:jc w:val="both"/>
        <w:rPr>
          <w:sz w:val="24"/>
        </w:rPr>
      </w:pPr>
      <w:r>
        <w:rPr>
          <w:rFonts w:eastAsia="Calibri" w:cs="DejaVu Sans Condensed" w:ascii="DejaVu Sans Condensed" w:hAnsi="DejaVu Sans Condensed" w:eastAsiaTheme="minorHAnsi"/>
          <w:b/>
          <w:bCs/>
          <w:i/>
          <w:iCs/>
          <w:color w:val="auto"/>
          <w:kern w:val="0"/>
          <w:sz w:val="18"/>
          <w:szCs w:val="18"/>
          <w:u w:val="thick"/>
          <w:lang w:val="el-GR" w:eastAsia="en-US" w:bidi="ar-SA"/>
        </w:rPr>
        <w:t>14.6 Ψηφιακή κάρτα εργασίας – Υποχρεώσεις εργαζομένου.</w:t>
      </w:r>
      <w:r>
        <w:rPr>
          <w:b/>
          <w:bCs/>
          <w:sz w:val="24"/>
        </w:rPr>
        <w:t xml:space="preserve"> </w:t>
      </w:r>
    </w:p>
    <w:p>
      <w:pPr>
        <w:pStyle w:val="Normal"/>
        <w:widowControl/>
        <w:suppressAutoHyphens w:val="true"/>
        <w:bidi w:val="0"/>
        <w:spacing w:lineRule="auto" w:line="259" w:before="0" w:after="160"/>
        <w:ind w:left="-68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{_CAPITAL_ONOMASTIKH_A} {_TYPOS_ERG} υποχρεούται, δεδομένου ότι έχει τεθεί σε ισχύ το σύστημα της ψηφιακής κάρτας, εργασίας, κατά την προσέλευσή τ{_GENIKH_A} στην εργασία, όπως και κατά την αποχώρησή τ{_GENIKH_A} από αυτή, να καταχωρεί τον προσωπικό QR κωδικό και στην εφαρμογή Ergani Cardscanner mobile app, που τηρεί η επιχείρηση βάσει των κείμενων διατάξεων.</w:t>
      </w:r>
    </w:p>
    <w:p>
      <w:pPr>
        <w:pStyle w:val="Normal"/>
        <w:widowControl/>
        <w:suppressAutoHyphens w:val="true"/>
        <w:bidi w:val="0"/>
        <w:spacing w:lineRule="auto" w:line="259" w:before="0" w:after="160"/>
        <w:ind w:left="-680" w:right="-1247"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{_CAPITAL_ONOMASTIKH_A} υποχρεούται να καταχωρεί τη ψηφιακή κάρτα εργασίας σε κάθε έναρξη και λήξη (ή αποχώρηση) της εργασίας τ{_GENIKH_A}, ή προσέλευση  και αποχώρηση με φυσική παρουσία σε εγκατάσταση {_ERGODOTHS_GENIKH}, σε περίπτωση εκτός εγκατάστασης απασχόλησης.</w:t>
      </w:r>
      <w:r>
        <w:rPr>
          <w:sz w:val="24"/>
        </w:rPr>
        <w:t xml:space="preserve"> </w:t>
      </w:r>
    </w:p>
    <w:p>
      <w:pPr>
        <w:pStyle w:val="Normal"/>
        <w:widowControl/>
        <w:suppressAutoHyphens w:val="true"/>
        <w:bidi w:val="0"/>
        <w:spacing w:lineRule="auto" w:line="259" w:before="0" w:after="160"/>
        <w:ind w:left="-680" w:right="-1304"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 xml:space="preserve">Απαγορεύεται ρητά στ{_AITIATIKH_A} (_TYPOS_ERG_AITIATIKH} η παραβίαση των όρων χρήσης της ψηφιακής κάρτας εργασίας, όπως η ανακριβής και αναληθής καταχώρηση ώρας έναρξης ή λήξης του χρόνου διάρκειας της ημερήσιας εργασίας, η διάθεση αυτής (της κάρτας) σε τρίτα πρόσωπα, καθώς και συμμετοχή (σύμπραξή) τ{_GENIKH_A} σε ανάλογη ενέργεια άλλου εργαζομένου -συναδέλφου τ{_GENIKH_A}. </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Σε περίπτωση δόλιας αθέτησης των ανωτέρω υποχρεώσεών τ{_GENIKH_A}, {_ONOMASTIKH_A} {_TYPOS_ERGAZOMENOY} οφείλει να αποκαταστήσει τυχόν ζημία που θα υποστεί η επιχείρηση για αυτό το λόγο καθώς και να λάβει πειθαρχικά μέτρα.</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Η κατά σύστημα μη σήμανση της κάρτας και γενικά η μη συμμόρφωση στο σύστημα της κάρτας αποτελεί σπουδαίο λόγο, για λήψη μέτρων εκ μέρους {_ERGODOTHS_GENIKH}.</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r>
      <w:r>
        <w:rPr>
          <w:rFonts w:cs="DejaVu Sans Condensed" w:ascii="DejaVu Sans Condensed" w:hAnsi="DejaVu Sans Condensed"/>
          <w:b/>
          <w:bCs/>
          <w:sz w:val="18"/>
          <w:szCs w:val="18"/>
          <w:u w:val="thick"/>
        </w:rPr>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απ</w:t>
      </w:r>
      <w:r>
        <w:rPr>
          <w:rFonts w:eastAsia="Calibri" w:cs="DejaVu Sans Condensed" w:ascii="DejaVu Sans Condensed" w:hAnsi="DejaVu Sans Condensed" w:eastAsiaTheme="minorHAnsi"/>
          <w:color w:val="auto"/>
          <w:kern w:val="0"/>
          <w:sz w:val="18"/>
          <w:szCs w:val="18"/>
          <w:lang w:val="el-GR" w:eastAsia="en-US" w:bidi="ar-SA"/>
        </w:rPr>
        <w:t xml:space="preserve">ό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1904ένα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link w:val="Header"/>
    <w:uiPriority w:val="99"/>
    <w:qFormat/>
    <w:rsid w:val="002b5881"/>
    <w:rPr/>
  </w:style>
  <w:style w:type="character" w:styleId="Char2" w:customStyle="1">
    <w:name w:val="Υποσέλιδο Char"/>
    <w:basedOn w:val="DefaultParagraphFont"/>
    <w:link w:val="Footer"/>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Footer">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Contents">
    <w:name w:val="List Contents"/>
    <w:basedOn w:val="Normal"/>
    <w:qFormat/>
    <w:pPr>
      <w:ind w:left="567" w:hanging="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2425</TotalTime>
  <Application>LibreOffice/7.3.7.2$Linux_X86_64 LibreOffice_project/30$Build-2</Application>
  <AppVersion>15.0000</AppVersion>
  <Pages>10</Pages>
  <Words>4296</Words>
  <Characters>28155</Characters>
  <CharactersWithSpaces>32469</CharactersWithSpaces>
  <Paragraphs>167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2026-02-13T10:19:19Z</dcterms:modified>
  <cp:revision>133</cp:revision>
  <dc:subject/>
  <dc:title/>
</cp:coreProperties>
</file>

<file path=docProps/custom.xml><?xml version="1.0" encoding="utf-8"?>
<Properties xmlns="http://schemas.openxmlformats.org/officeDocument/2006/custom-properties" xmlns:vt="http://schemas.openxmlformats.org/officeDocument/2006/docPropsVTypes"/>
</file>