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00020"/>
          <w:sz w:val="40"/>
          <w:szCs w:val="40"/>
        </w:rPr>
        <w:t xml:space="preserve">SafeCharge: Interactive BMS Digital Twin</w:t>
      </w:r>
    </w:p>
    <w:p>
      <w:pPr>
        <w:spacing w:after="60"/>
        <w:jc w:val="center"/>
      </w:pPr>
      <w:r>
        <w:rPr>
          <w:b/>
          <w:bCs/>
          <w:sz w:val="28"/>
          <w:szCs w:val="28"/>
        </w:rPr>
        <w:t xml:space="preserve">Sprint 2 Plan — Group 6</w:t>
      </w:r>
    </w:p>
    <w:p>
      <w:pPr>
        <w:spacing w:after="60"/>
        <w:jc w:val="center"/>
      </w:pPr>
      <w:r>
        <w:rPr>
          <w:i/>
          <w:iCs/>
          <w:color w:val="6B6B6B"/>
          <w:sz w:val="20"/>
          <w:szCs w:val="20"/>
        </w:rPr>
        <w:t xml:space="preserve">Digital Engineering Summer Semester Project · Otto-von-Guericke-University Magdeburg</w:t>
      </w:r>
    </w:p>
    <w:p>
      <w:pPr>
        <w:spacing w:after="240"/>
        <w:jc w:val="center"/>
      </w:pPr>
      <w:r>
        <w:rPr>
          <w:color w:val="6B6B6B"/>
          <w:sz w:val="20"/>
          <w:szCs w:val="20"/>
        </w:rPr>
        <w:t xml:space="preserve">Document date: 14 May 2026 · Sprint 2 due: 22 May 2026</w:t>
      </w:r>
    </w:p>
    <w:p>
      <w:pPr>
        <w:pBdr>
          <w:bottom w:val="single" w:color="800020" w:sz="12" w:space="1"/>
        </w:pBdr>
        <w:spacing w:after="200"/>
      </w:pPr>
      <w:r>
        <w:t xml:space="preserve"/>
      </w:r>
    </w:p>
    <w:p>
      <w:pPr>
        <w:pStyle w:val="Heading1"/>
        <w:spacing w:after="160" w:before="320"/>
      </w:pPr>
      <w:r>
        <w:rPr>
          <w:b/>
          <w:bCs/>
          <w:color w:val="800020"/>
          <w:sz w:val="32"/>
          <w:szCs w:val="32"/>
        </w:rPr>
        <w:t xml:space="preserve">Executive Summary</w:t>
      </w:r>
    </w:p>
    <w:p>
      <w:pPr>
        <w:spacing w:after="120" w:line="300"/>
      </w:pPr>
      <w:r>
        <w:t xml:space="preserve">Sprint 1 closed with a complete concept lock for SafeCharge — an interactive 3D digital twin of a lithium-ion battery pack and its BMS, built in Unity with 3D assets authored in Blender. This document plans Sprint 2 (deadline 22 May 2026), which converts the concept into a first runnable scene: full process equations on the CEE side, initial 3D assets and a parameter-to-UI mapping on the DE/DKE side, and — based on the professor's Sprint 1 feedback — a new State-of-Health (SOH) module that exposes the gap between displayed SOC and the actual energy the pack can deliver, expressed as remaining EV driving range.</w:t>
      </w:r>
    </w:p>
    <w:p>
      <w:pPr>
        <w:pStyle w:val="Heading1"/>
        <w:spacing w:after="160" w:before="320"/>
      </w:pPr>
      <w:r>
        <w:rPr>
          <w:b/>
          <w:bCs/>
          <w:color w:val="800020"/>
          <w:sz w:val="32"/>
          <w:szCs w:val="32"/>
        </w:rPr>
        <w:t xml:space="preserve">1. Sprint 1 Recap</w:t>
      </w:r>
    </w:p>
    <w:p>
      <w:pPr>
        <w:spacing w:after="120" w:line="300"/>
      </w:pPr>
      <w:r>
        <w:t xml:space="preserve">Sprint 1 produced the concept presentation, the schematic process flow (Operator Input → Process Calculation → BMS Logic → Visualization → Result Card), the BMS architecture block diagram, the safety thresholds, and the first set of process equations (SOC integration and Joule heating). The CEE/DE task split was agreed: CEE owns the process math, the DE/DKE group owns the Unity build, Blender assets, and UI.</w:t>
      </w:r>
    </w:p>
    <w:p>
      <w:pPr>
        <w:spacing w:after="120" w:line="300"/>
      </w:pPr>
      <w:r>
        <w:rPr>
          <w:b/>
          <w:bCs/>
        </w:rPr>
        <w:t xml:space="preserve">Status of Sprint 1 deliverables: </w:t>
      </w:r>
      <w:r>
        <w:t xml:space="preserve">concept, initial variables, simplified safety thresholds, Unity + GitHub setup, UI wireframes, and the flow-visualisation concept are all complete.</w:t>
      </w:r>
    </w:p>
    <w:p>
      <w:pPr>
        <w:pStyle w:val="Heading1"/>
        <w:spacing w:after="160" w:before="320"/>
      </w:pPr>
      <w:r>
        <w:rPr>
          <w:b/>
          <w:bCs/>
          <w:color w:val="800020"/>
          <w:sz w:val="32"/>
          <w:szCs w:val="32"/>
        </w:rPr>
        <w:t xml:space="preserve">2. Professor's Feedback — Cell-Health Integration</w:t>
      </w:r>
    </w:p>
    <w:p>
      <w:pPr>
        <w:spacing w:after="120" w:line="300"/>
      </w:pPr>
      <w:r>
        <w:t xml:space="preserve">The professor's Sprint 1 review pointed out that the current concept treats State-of-Charge as a single, honest number. In reality, the displayed percentage understates how degraded the pack actually is: when one or more cells have a lower State-of-Health (SOH), the pack's usable capacity is limited by the weakest cell in each series string. A pack reading 80% SOC may only deliver the energy that a healthy pack would deliver at, say, 64%.</w:t>
      </w:r>
    </w:p>
    <w:tbl>
      <w:tblPr>
        <w:tblW w:type="dxa" w:w="9360"/>
        <w:tblBorders>
          <w:top w:val="single" w:color="D6A02E" w:sz="8"/>
          <w:left w:val="single" w:color="D6A02E" w:sz="16"/>
          <w:bottom w:val="single" w:color="D6A02E" w:sz="8"/>
          <w:right w:val="single" w:color="D6A02E" w:sz="8"/>
          <w:insideH w:val="single" w:color="auto" w:sz="4"/>
          <w:insideV w:val="single" w:color="auto" w:sz="4"/>
        </w:tblBorders>
      </w:tblPr>
      <w:tblGrid>
        <w:gridCol w:w="9360"/>
      </w:tblGrid>
      <w:tr>
        <w:tc>
          <w:tcPr>
            <w:tcW w:type="dxa" w:w="9360"/>
            <w:shd w:fill="FFF7E6" w:val="clear"/>
            <w:tcMar>
              <w:top w:type="dxa" w:w="140"/>
              <w:left w:type="dxa" w:w="200"/>
              <w:bottom w:type="dxa" w:w="140"/>
              <w:right w:type="dxa" w:w="200"/>
            </w:tcMar>
          </w:tcPr>
          <w:p>
            <w:pPr>
              <w:spacing w:after="80"/>
            </w:pPr>
            <w:r>
              <w:rPr>
                <w:b/>
                <w:bCs/>
                <w:color w:val="800020"/>
              </w:rPr>
              <w:t xml:space="preserve">Professor's recommendation — what the app must show</w:t>
            </w:r>
          </w:p>
          <w:p>
            <w:pPr>
              <w:spacing w:after="60" w:line="280"/>
            </w:pPr>
            <w:r>
              <w:t xml:space="preserve">Per-cell SOH visible in the cell-level view, not just pack-level SOC.</w:t>
            </w:r>
          </w:p>
          <w:p>
            <w:pPr>
              <w:spacing w:after="60" w:line="280"/>
            </w:pPr>
            <w:r>
              <w:t xml:space="preserve">Difference between displayed SOC (what the dashboard would normally show) and actual usable SOC under current SOH.</w:t>
            </w:r>
          </w:p>
          <w:p>
            <w:pPr>
              <w:spacing w:after="60" w:line="280"/>
            </w:pPr>
            <w:r>
              <w:t xml:space="preserve">A real-world consequence of that gap — e.g. an EV driving-range estimate that drops as cells degrade.</w:t>
            </w:r>
          </w:p>
          <w:p>
            <w:pPr>
              <w:spacing w:after="60" w:line="280"/>
            </w:pPr>
            <w:r>
              <w:rPr>
                <w:b/>
                <w:bCs/>
              </w:rPr>
              <w:t xml:space="preserve">Implication: </w:t>
            </w:r>
            <w:r>
              <w:t xml:space="preserve">the BMS scene must surface the asymmetry between cells. The user should be able to see which cells are pulling the pack down, and what that costs in km of range.</w:t>
            </w:r>
          </w:p>
        </w:tc>
      </w:tr>
    </w:tbl>
    <w:p>
      <w:pPr>
        <w:spacing w:after="120" w:line="300"/>
      </w:pPr>
      <w:r>
        <w:t xml:space="preserve">Section 4.3 and 4.4 below specify the math we will adopt; section 5.2 specifies the UI additions; section 6 lays out the Blender/Unity work needed to render it.</w:t>
      </w:r>
    </w:p>
    <w:p>
      <w:pPr>
        <w:pStyle w:val="Heading1"/>
        <w:spacing w:after="160" w:before="320"/>
      </w:pPr>
      <w:r>
        <w:rPr>
          <w:b/>
          <w:bCs/>
          <w:color w:val="800020"/>
          <w:sz w:val="32"/>
          <w:szCs w:val="32"/>
        </w:rPr>
        <w:t xml:space="preserve">3. Sprint 2 Objectives</w:t>
      </w:r>
    </w:p>
    <w:p>
      <w:pPr>
        <w:spacing w:after="120" w:line="300"/>
      </w:pPr>
      <w:r>
        <w:t xml:space="preserve">By 22 May 2026 the team will have:</w:t>
      </w:r>
    </w:p>
    <w:p>
      <w:pPr>
        <w:pStyle w:val="ListParagraph"/>
        <w:numPr>
          <w:ilvl w:val="0"/>
          <w:numId w:val="2"/>
        </w:numPr>
        <w:spacing w:after="80" w:line="280"/>
      </w:pPr>
      <w:r>
        <w:t xml:space="preserve">Full electrothermal equations documented and parameterised (SOC, Joule heating, simple lumped thermal update).</w:t>
      </w:r>
    </w:p>
    <w:p>
      <w:pPr>
        <w:pStyle w:val="ListParagraph"/>
        <w:numPr>
          <w:ilvl w:val="0"/>
          <w:numId w:val="2"/>
        </w:numPr>
        <w:spacing w:after="80" w:line="280"/>
      </w:pPr>
      <w:r>
        <w:t xml:space="preserve">SOH and weakest-cell-limits-pack math integrated into the process model.</w:t>
      </w:r>
    </w:p>
    <w:p>
      <w:pPr>
        <w:pStyle w:val="ListParagraph"/>
        <w:numPr>
          <w:ilvl w:val="0"/>
          <w:numId w:val="2"/>
        </w:numPr>
        <w:spacing w:after="80" w:line="280"/>
      </w:pPr>
      <w:r>
        <w:t xml:space="preserve">EV driving-range estimator wired to the SOH-corrected usable capacity.</w:t>
      </w:r>
    </w:p>
    <w:p>
      <w:pPr>
        <w:pStyle w:val="ListParagraph"/>
        <w:numPr>
          <w:ilvl w:val="0"/>
          <w:numId w:val="2"/>
        </w:numPr>
        <w:spacing w:after="80" w:line="280"/>
      </w:pPr>
      <w:r>
        <w:t xml:space="preserve">Initial Blender 3D assets for the battery pack and a representative prismatic cell, exported as .fbx for Unity.</w:t>
      </w:r>
    </w:p>
    <w:p>
      <w:pPr>
        <w:pStyle w:val="ListParagraph"/>
        <w:numPr>
          <w:ilvl w:val="0"/>
          <w:numId w:val="2"/>
        </w:numPr>
        <w:spacing w:after="80" w:line="280"/>
      </w:pPr>
      <w:r>
        <w:t xml:space="preserve">Unity scene scaffold loading those assets, with placeholder shaders for thermal colouring and a 16-cell SOH heatmap.</w:t>
      </w:r>
    </w:p>
    <w:p>
      <w:pPr>
        <w:pStyle w:val="ListParagraph"/>
        <w:numPr>
          <w:ilvl w:val="0"/>
          <w:numId w:val="2"/>
        </w:numPr>
        <w:spacing w:after="80" w:line="280"/>
      </w:pPr>
      <w:r>
        <w:t xml:space="preserve">UI wireframe updated to include: dual SOC gauge (displayed vs usable), cell-grid SOH heatmap, and range readout in km.</w:t>
      </w:r>
    </w:p>
    <w:p>
      <w:pPr>
        <w:pStyle w:val="ListParagraph"/>
        <w:numPr>
          <w:ilvl w:val="0"/>
          <w:numId w:val="2"/>
        </w:numPr>
        <w:spacing w:after="80" w:line="280"/>
      </w:pPr>
      <w:r>
        <w:t xml:space="preserve">Parameter-to-UI mapping table that each script and slider can be cross-checked against.</w:t>
      </w:r>
    </w:p>
    <w:p>
      <w:pPr>
        <w:pStyle w:val="Heading1"/>
        <w:spacing w:after="160" w:before="320"/>
      </w:pPr>
      <w:r>
        <w:rPr>
          <w:b/>
          <w:bCs/>
          <w:color w:val="800020"/>
          <w:sz w:val="32"/>
          <w:szCs w:val="32"/>
        </w:rPr>
        <w:t xml:space="preserve">4. Technical Deliverables — CEE Side</w:t>
      </w:r>
    </w:p>
    <w:p>
      <w:pPr>
        <w:pStyle w:val="Heading2"/>
        <w:spacing w:after="120" w:before="240"/>
      </w:pPr>
      <w:r>
        <w:rPr>
          <w:b/>
          <w:bCs/>
          <w:color w:val="333333"/>
          <w:sz w:val="26"/>
          <w:szCs w:val="26"/>
        </w:rPr>
        <w:t xml:space="preserve">4.1 State of Charge (SOC)</w:t>
      </w:r>
    </w:p>
    <w:p>
      <w:pPr>
        <w:spacing w:after="120" w:line="300"/>
      </w:pPr>
      <w:r>
        <w:t xml:space="preserve">Coulomb-counting formulation, with sign convention: discharge current is positive.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SOC update (continuous)</w:t>
            </w:r>
          </w:p>
          <w:p>
            <w:pPr>
              <w:spacing w:after="60"/>
              <w:jc w:val="center"/>
            </w:pPr>
            <w:r>
              <w:rPr>
                <w:rFonts w:ascii="Cambria Math" w:cs="Cambria Math" w:eastAsia="Cambria Math" w:hAnsi="Cambria Math"/>
                <w:b/>
                <w:bCs/>
                <w:sz w:val="24"/>
                <w:szCs w:val="24"/>
              </w:rPr>
              <w:t xml:space="preserve">SOC(t) = SOC₀ − (1 / Q_nom) · ∫₀ᵗ I(τ) dτ</w:t>
            </w:r>
          </w:p>
          <w:p>
            <w:pPr>
              <w:spacing w:after="0"/>
              <w:jc w:val="center"/>
            </w:pPr>
            <w:r>
              <w:rPr>
                <w:i/>
                <w:iCs/>
                <w:color w:val="6B6B6B"/>
                <w:sz w:val="20"/>
                <w:szCs w:val="20"/>
              </w:rPr>
              <w:t xml:space="preserve">Q_nom — nominal capacity (Ah); I(τ) — pack current (A); SOC in [0, 1]</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Discrete-time form used by the Unity update loop</w:t>
            </w:r>
          </w:p>
          <w:p>
            <w:pPr>
              <w:spacing w:after="60"/>
              <w:jc w:val="center"/>
            </w:pPr>
            <w:r>
              <w:rPr>
                <w:rFonts w:ascii="Cambria Math" w:cs="Cambria Math" w:eastAsia="Cambria Math" w:hAnsi="Cambria Math"/>
                <w:b/>
                <w:bCs/>
                <w:sz w:val="24"/>
                <w:szCs w:val="24"/>
              </w:rPr>
              <w:t xml:space="preserve">SOC[k+1] = SOC[k] − (I[k] · Δt) / (3600 · Q_nom)</w:t>
            </w:r>
          </w:p>
          <w:p>
            <w:pPr>
              <w:spacing w:after="0"/>
              <w:jc w:val="center"/>
            </w:pPr>
            <w:r>
              <w:rPr>
                <w:i/>
                <w:iCs/>
                <w:color w:val="6B6B6B"/>
                <w:sz w:val="20"/>
                <w:szCs w:val="20"/>
              </w:rPr>
              <w:t xml:space="preserve">Δt in seconds; the 3600 converts to Ah</w:t>
            </w:r>
          </w:p>
        </w:tc>
      </w:tr>
    </w:tbl>
    <w:p>
      <w:pPr>
        <w:pStyle w:val="Heading2"/>
        <w:spacing w:after="120" w:before="240"/>
      </w:pPr>
      <w:r>
        <w:rPr>
          <w:b/>
          <w:bCs/>
          <w:color w:val="333333"/>
          <w:sz w:val="26"/>
          <w:szCs w:val="26"/>
        </w:rPr>
        <w:t xml:space="preserve">4.2 Joule Heating and Lumped Thermal Update</w:t>
      </w:r>
    </w:p>
    <w:p>
      <w:pPr>
        <w:spacing w:after="120" w:line="300"/>
      </w:pPr>
      <w:r>
        <w:t xml:space="preserve">Internal heat generation is dominated by ohmic loss in the cell internal resistance. The pack is modelled as a single lumped mass for Sprint 2 — per-cell thermal coupling is deferred to Sprint 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Heat generation rate (per cell)</w:t>
            </w:r>
          </w:p>
          <w:p>
            <w:pPr>
              <w:spacing w:after="60"/>
              <w:jc w:val="center"/>
            </w:pPr>
            <w:r>
              <w:rPr>
                <w:rFonts w:ascii="Cambria Math" w:cs="Cambria Math" w:eastAsia="Cambria Math" w:hAnsi="Cambria Math"/>
                <w:b/>
                <w:bCs/>
                <w:sz w:val="24"/>
                <w:szCs w:val="24"/>
              </w:rPr>
              <w:t xml:space="preserve">Q̇_gen = I² · R_int(SOC, T)</w:t>
            </w:r>
          </w:p>
          <w:p>
            <w:pPr>
              <w:spacing w:after="0"/>
              <w:jc w:val="center"/>
            </w:pPr>
            <w:r>
              <w:rPr>
                <w:i/>
                <w:iCs/>
                <w:color w:val="6B6B6B"/>
                <w:sz w:val="20"/>
                <w:szCs w:val="20"/>
              </w:rPr>
              <w:t xml:space="preserve">R_int from a lookup table to be filled in Sprint 2; default 30 mΩ until populated</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Lumped thermal balance</w:t>
            </w:r>
          </w:p>
          <w:p>
            <w:pPr>
              <w:spacing w:after="60"/>
              <w:jc w:val="center"/>
            </w:pPr>
            <w:r>
              <w:rPr>
                <w:rFonts w:ascii="Cambria Math" w:cs="Cambria Math" w:eastAsia="Cambria Math" w:hAnsi="Cambria Math"/>
                <w:b/>
                <w:bCs/>
                <w:sz w:val="24"/>
                <w:szCs w:val="24"/>
              </w:rPr>
              <w:t xml:space="preserve">m · c_p · dT/dt = Q̇_gen − h · A · (T − T_amb)</w:t>
            </w:r>
          </w:p>
          <w:p>
            <w:pPr>
              <w:spacing w:after="0"/>
              <w:jc w:val="center"/>
            </w:pPr>
            <w:r>
              <w:rPr>
                <w:i/>
                <w:iCs/>
                <w:color w:val="6B6B6B"/>
                <w:sz w:val="20"/>
                <w:szCs w:val="20"/>
              </w:rPr>
              <w:t xml:space="preserve">m — pack mass; c_p = 800 J/(kg·K); h — convective coefficient (~10 W/(m²·K) passive, ~40 active cooling)</w:t>
            </w:r>
          </w:p>
        </w:tc>
      </w:tr>
    </w:tbl>
    <w:p>
      <w:pPr>
        <w:spacing w:after="120" w:line="300"/>
      </w:pPr>
      <w:r>
        <w:rPr>
          <w:b/>
          <w:bCs/>
        </w:rPr>
        <w:t xml:space="preserve">Thresholds (locked from Sprint 1): </w:t>
      </w:r>
      <w:r>
        <w:t xml:space="preserve">cooling fan activates at T &gt; 45 °C; runaway alarm at T &gt; 60 °C.</w:t>
      </w:r>
    </w:p>
    <w:p>
      <w:pPr>
        <w:pStyle w:val="Heading2"/>
        <w:spacing w:after="120" w:before="240"/>
      </w:pPr>
      <w:r>
        <w:rPr>
          <w:b/>
          <w:bCs/>
          <w:color w:val="333333"/>
          <w:sz w:val="26"/>
          <w:szCs w:val="26"/>
        </w:rPr>
        <w:t xml:space="preserve">4.3 NEW — State of Health and Weakest-Cell Math</w:t>
      </w:r>
    </w:p>
    <w:p>
      <w:pPr>
        <w:spacing w:after="120" w:line="300"/>
      </w:pPr>
      <w:r>
        <w:t xml:space="preserve">Each cell j carries an SOH ∈ [0, 1] representing its present full capacity relative to nominal. For lithium-ion cells, EOL is conventionally taken at SOH = 0.80.</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Per-cell SOH</w:t>
            </w:r>
          </w:p>
          <w:p>
            <w:pPr>
              <w:spacing w:after="60"/>
              <w:jc w:val="center"/>
            </w:pPr>
            <w:r>
              <w:rPr>
                <w:rFonts w:ascii="Cambria Math" w:cs="Cambria Math" w:eastAsia="Cambria Math" w:hAnsi="Cambria Math"/>
                <w:b/>
                <w:bCs/>
                <w:sz w:val="24"/>
                <w:szCs w:val="24"/>
              </w:rPr>
              <w:t xml:space="preserve">SOH_j = Q_full,j / Q_nom</w:t>
            </w:r>
          </w:p>
          <w:p>
            <w:pPr>
              <w:spacing w:after="0"/>
              <w:jc w:val="center"/>
            </w:pPr>
            <w:r>
              <w:rPr>
                <w:i/>
                <w:iCs/>
                <w:color w:val="6B6B6B"/>
                <w:sz w:val="20"/>
                <w:szCs w:val="20"/>
              </w:rPr>
              <w:t xml:space="preserve">Q_full,j — current full capacity of cell j after ageing</w:t>
            </w:r>
          </w:p>
        </w:tc>
      </w:tr>
    </w:tbl>
    <w:p>
      <w:pPr>
        <w:spacing w:after="120" w:line="300"/>
      </w:pPr>
      <w:r>
        <w:t xml:space="preserve">For cells in series (the topology we visualise), pack capacity is limited by the weakest cell — once that cell empties, the BMS must cut current regardless of what the others still hold. For parallel groups, capacities sum.</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Usable pack capacity (series string of N cells)</w:t>
            </w:r>
          </w:p>
          <w:p>
            <w:pPr>
              <w:spacing w:after="60"/>
              <w:jc w:val="center"/>
            </w:pPr>
            <w:r>
              <w:rPr>
                <w:rFonts w:ascii="Cambria Math" w:cs="Cambria Math" w:eastAsia="Cambria Math" w:hAnsi="Cambria Math"/>
                <w:b/>
                <w:bCs/>
                <w:sz w:val="24"/>
                <w:szCs w:val="24"/>
              </w:rPr>
              <w:t xml:space="preserve">Q_pack_usable = minⱼ ( Q_full,j )    ,   j = 1 … N</w:t>
            </w:r>
          </w:p>
          <w:p>
            <w:pPr>
              <w:spacing w:after="0"/>
              <w:jc w:val="center"/>
            </w:pPr>
            <w:r>
              <w:rPr>
                <w:i/>
                <w:iCs/>
                <w:color w:val="6B6B6B"/>
                <w:sz w:val="20"/>
                <w:szCs w:val="20"/>
              </w:rPr>
              <w:t xml:space="preserve">i.e. the worst cell sets the ceiling for the whole pack</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Pack SOH (reported to the dashboard)</w:t>
            </w:r>
          </w:p>
          <w:p>
            <w:pPr>
              <w:spacing w:after="60"/>
              <w:jc w:val="center"/>
            </w:pPr>
            <w:r>
              <w:rPr>
                <w:rFonts w:ascii="Cambria Math" w:cs="Cambria Math" w:eastAsia="Cambria Math" w:hAnsi="Cambria Math"/>
                <w:b/>
                <w:bCs/>
                <w:sz w:val="24"/>
                <w:szCs w:val="24"/>
              </w:rPr>
              <w:t xml:space="preserve">SOH_pack = Q_pack_usable / Q_nom</w:t>
            </w:r>
          </w:p>
          <w:p>
            <w:pPr>
              <w:spacing w:after="0"/>
              <w:jc w:val="center"/>
            </w:pPr>
            <w:r>
              <w:rPr>
                <w:i/>
                <w:iCs/>
                <w:color w:val="6B6B6B"/>
                <w:sz w:val="20"/>
                <w:szCs w:val="20"/>
              </w:rPr>
              <w:t xml:space="preserve">this is the figure compared against the 80% EOL line</w:t>
            </w:r>
          </w:p>
        </w:tc>
      </w:tr>
    </w:tbl>
    <w:p>
      <w:pPr>
        <w:spacing w:after="120" w:line="300"/>
      </w:pPr>
      <w:r>
        <w:t xml:space="preserve">The user-facing distinction the professor asked for is the gap between displayed SOC (what a naive gauge would show, computed from coulomb counting against Q_nom) and actual usable SOC (what fraction of the energy actually accessible from the pack remains).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Displayed vs Actual usable SOC</w:t>
            </w:r>
          </w:p>
          <w:p>
            <w:pPr>
              <w:spacing w:after="60"/>
              <w:jc w:val="center"/>
            </w:pPr>
            <w:r>
              <w:rPr>
                <w:rFonts w:ascii="Cambria Math" w:cs="Cambria Math" w:eastAsia="Cambria Math" w:hAnsi="Cambria Math"/>
                <w:b/>
                <w:bCs/>
                <w:sz w:val="24"/>
                <w:szCs w:val="24"/>
              </w:rPr>
              <w:t xml:space="preserve">SOC_actual = SOC_displayed · SOH_pack</w:t>
            </w:r>
          </w:p>
          <w:p>
            <w:pPr>
              <w:spacing w:after="0"/>
              <w:jc w:val="center"/>
            </w:pPr>
            <w:r>
              <w:rPr>
                <w:i/>
                <w:iCs/>
                <w:color w:val="6B6B6B"/>
                <w:sz w:val="20"/>
                <w:szCs w:val="20"/>
              </w:rPr>
              <w:t xml:space="preserve">Example: SOC_displayed = 80 %, SOH_pack = 0.80 → SOC_actual = 64 %</w:t>
            </w:r>
          </w:p>
        </w:tc>
      </w:tr>
    </w:tbl>
    <w:p>
      <w:pPr>
        <w:pStyle w:val="Heading2"/>
        <w:spacing w:after="120" w:before="240"/>
      </w:pPr>
      <w:r>
        <w:rPr>
          <w:b/>
          <w:bCs/>
          <w:color w:val="333333"/>
          <w:sz w:val="26"/>
          <w:szCs w:val="26"/>
        </w:rPr>
        <w:t xml:space="preserve">4.4 NEW — EV Driving Range Estimator</w:t>
      </w:r>
    </w:p>
    <w:p>
      <w:pPr>
        <w:spacing w:after="120" w:line="300"/>
      </w:pPr>
      <w:r>
        <w:t xml:space="preserve">To translate the SOC/SOH gap into something the user can feel, the dashboard will show remaining range in km. We pick a reference EV consumption figure (configurable in the scene) and apply the SOH-corrected usable energy.</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Usable energy in the pack</w:t>
            </w:r>
          </w:p>
          <w:p>
            <w:pPr>
              <w:spacing w:after="60"/>
              <w:jc w:val="center"/>
            </w:pPr>
            <w:r>
              <w:rPr>
                <w:rFonts w:ascii="Cambria Math" w:cs="Cambria Math" w:eastAsia="Cambria Math" w:hAnsi="Cambria Math"/>
                <w:b/>
                <w:bCs/>
                <w:sz w:val="24"/>
                <w:szCs w:val="24"/>
              </w:rPr>
              <w:t xml:space="preserve">E_usable (kWh) = V_nom · Q_pack_usable · SOC_displayed / 1000</w:t>
            </w:r>
          </w:p>
          <w:p>
            <w:pPr>
              <w:spacing w:after="0"/>
              <w:jc w:val="center"/>
            </w:pPr>
            <w:r>
              <w:rPr>
                <w:i/>
                <w:iCs/>
                <w:color w:val="6B6B6B"/>
                <w:sz w:val="20"/>
                <w:szCs w:val="20"/>
              </w:rPr>
              <w:t xml:space="preserve">V_nom — nominal pack voltage; default 350 V for the demo pack</w:t>
            </w:r>
          </w:p>
        </w:tc>
      </w:tr>
    </w:tbl>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4ECEF" w:val="clear"/>
            <w:tcMar>
              <w:top w:type="dxa" w:w="140"/>
              <w:left w:type="dxa" w:w="200"/>
              <w:bottom w:type="dxa" w:w="140"/>
              <w:right w:type="dxa" w:w="200"/>
            </w:tcMar>
          </w:tcPr>
          <w:p>
            <w:pPr>
              <w:spacing w:after="40"/>
              <w:jc w:val="center"/>
            </w:pPr>
            <w:r>
              <w:rPr>
                <w:b/>
                <w:bCs/>
                <w:color w:val="800020"/>
                <w:sz w:val="20"/>
                <w:szCs w:val="20"/>
              </w:rPr>
              <w:t xml:space="preserve">Estimated remaining range</w:t>
            </w:r>
          </w:p>
          <w:p>
            <w:pPr>
              <w:spacing w:after="60"/>
              <w:jc w:val="center"/>
            </w:pPr>
            <w:r>
              <w:rPr>
                <w:rFonts w:ascii="Cambria Math" w:cs="Cambria Math" w:eastAsia="Cambria Math" w:hAnsi="Cambria Math"/>
                <w:b/>
                <w:bCs/>
                <w:sz w:val="24"/>
                <w:szCs w:val="24"/>
              </w:rPr>
              <w:t xml:space="preserve">Range (km) = E_usable / c_drive</w:t>
            </w:r>
          </w:p>
          <w:p>
            <w:pPr>
              <w:spacing w:after="0"/>
              <w:jc w:val="center"/>
            </w:pPr>
            <w:r>
              <w:rPr>
                <w:i/>
                <w:iCs/>
                <w:color w:val="6B6B6B"/>
                <w:sz w:val="20"/>
                <w:szCs w:val="20"/>
              </w:rPr>
              <w:t xml:space="preserve">c_drive — vehicle consumption in kWh/km; default 0.18 kWh/km (~mid-size EV)</w:t>
            </w:r>
          </w:p>
        </w:tc>
      </w:tr>
    </w:tbl>
    <w:p>
      <w:pPr>
        <w:spacing w:after="120" w:line="300"/>
      </w:pPr>
      <w:r>
        <w:t xml:space="preserve">Worked example (used as the demo scenario for the result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800020" w:val="clear"/>
            <w:tcMar>
              <w:top w:type="dxa" w:w="100"/>
              <w:left w:type="dxa" w:w="120"/>
              <w:bottom w:type="dxa" w:w="100"/>
              <w:right w:type="dxa" w:w="120"/>
            </w:tcMar>
          </w:tcPr>
          <w:p>
            <w:r>
              <w:rPr>
                <w:b/>
                <w:bCs/>
                <w:color w:val="FFFFFF"/>
              </w:rPr>
              <w:t xml:space="preserve">Scenario</w:t>
            </w:r>
          </w:p>
        </w:tc>
        <w:tc>
          <w:tcPr>
            <w:tcW w:type="dxa" w:w="5860"/>
            <w:shd w:fill="800020" w:val="clear"/>
            <w:tcMar>
              <w:top w:type="dxa" w:w="100"/>
              <w:left w:type="dxa" w:w="120"/>
              <w:bottom w:type="dxa" w:w="100"/>
              <w:right w:type="dxa" w:w="120"/>
            </w:tcMar>
          </w:tcPr>
          <w:p>
            <w:r>
              <w:rPr>
                <w:b/>
                <w:bCs/>
                <w:color w:val="FFFFFF"/>
              </w:rPr>
              <w:t xml:space="preserve">Value</w:t>
            </w:r>
          </w:p>
        </w:tc>
      </w:tr>
      <w:tr>
        <w:tc>
          <w:tcPr>
            <w:tcW w:type="dxa" w:w="3500"/>
            <w:tcMar>
              <w:top w:type="dxa" w:w="80"/>
              <w:left w:type="dxa" w:w="120"/>
              <w:bottom w:type="dxa" w:w="80"/>
              <w:right w:type="dxa" w:w="120"/>
            </w:tcMar>
          </w:tcPr>
          <w:p>
            <w:r>
              <w:t xml:space="preserve">Nominal pack</w:t>
            </w:r>
          </w:p>
        </w:tc>
        <w:tc>
          <w:tcPr>
            <w:tcW w:type="dxa" w:w="5860"/>
            <w:tcMar>
              <w:top w:type="dxa" w:w="80"/>
              <w:left w:type="dxa" w:w="120"/>
              <w:bottom w:type="dxa" w:w="80"/>
              <w:right w:type="dxa" w:w="120"/>
            </w:tcMar>
          </w:tcPr>
          <w:p>
            <w:r>
              <w:t xml:space="preserve">Q_nom = 100 Ah,   V_nom = 350 V,   SOH = 1.00</w:t>
            </w:r>
          </w:p>
        </w:tc>
      </w:tr>
      <w:tr>
        <w:tc>
          <w:tcPr>
            <w:tcW w:type="dxa" w:w="3500"/>
            <w:shd w:fill="FAFAFA" w:val="clear"/>
            <w:tcMar>
              <w:top w:type="dxa" w:w="80"/>
              <w:left w:type="dxa" w:w="120"/>
              <w:bottom w:type="dxa" w:w="80"/>
              <w:right w:type="dxa" w:w="120"/>
            </w:tcMar>
          </w:tcPr>
          <w:p>
            <w:r>
              <w:t xml:space="preserve">Displayed SOC</w:t>
            </w:r>
          </w:p>
        </w:tc>
        <w:tc>
          <w:tcPr>
            <w:tcW w:type="dxa" w:w="5860"/>
            <w:shd w:fill="FAFAFA" w:val="clear"/>
            <w:tcMar>
              <w:top w:type="dxa" w:w="80"/>
              <w:left w:type="dxa" w:w="120"/>
              <w:bottom w:type="dxa" w:w="80"/>
              <w:right w:type="dxa" w:w="120"/>
            </w:tcMar>
          </w:tcPr>
          <w:p>
            <w:r>
              <w:t xml:space="preserve">80 %</w:t>
            </w:r>
          </w:p>
        </w:tc>
      </w:tr>
      <w:tr>
        <w:tc>
          <w:tcPr>
            <w:tcW w:type="dxa" w:w="3500"/>
            <w:tcMar>
              <w:top w:type="dxa" w:w="80"/>
              <w:left w:type="dxa" w:w="120"/>
              <w:bottom w:type="dxa" w:w="80"/>
              <w:right w:type="dxa" w:w="120"/>
            </w:tcMar>
          </w:tcPr>
          <w:p>
            <w:r>
              <w:t xml:space="preserve">If pack is healthy</w:t>
            </w:r>
          </w:p>
        </w:tc>
        <w:tc>
          <w:tcPr>
            <w:tcW w:type="dxa" w:w="5860"/>
            <w:tcMar>
              <w:top w:type="dxa" w:w="80"/>
              <w:left w:type="dxa" w:w="120"/>
              <w:bottom w:type="dxa" w:w="80"/>
              <w:right w:type="dxa" w:w="120"/>
            </w:tcMar>
          </w:tcPr>
          <w:p>
            <w:r>
              <w:t xml:space="preserve">E = 350 · 100 · 0.80 / 1000 = 28.0 kWh  →  Range ≈ 156 km</w:t>
            </w:r>
          </w:p>
        </w:tc>
      </w:tr>
      <w:tr>
        <w:tc>
          <w:tcPr>
            <w:tcW w:type="dxa" w:w="3500"/>
            <w:shd w:fill="FAFAFA" w:val="clear"/>
            <w:tcMar>
              <w:top w:type="dxa" w:w="80"/>
              <w:left w:type="dxa" w:w="120"/>
              <w:bottom w:type="dxa" w:w="80"/>
              <w:right w:type="dxa" w:w="120"/>
            </w:tcMar>
          </w:tcPr>
          <w:p>
            <w:r>
              <w:t xml:space="preserve">If weakest cell SOH = 0.72</w:t>
            </w:r>
          </w:p>
        </w:tc>
        <w:tc>
          <w:tcPr>
            <w:tcW w:type="dxa" w:w="5860"/>
            <w:shd w:fill="FAFAFA" w:val="clear"/>
            <w:tcMar>
              <w:top w:type="dxa" w:w="80"/>
              <w:left w:type="dxa" w:w="120"/>
              <w:bottom w:type="dxa" w:w="80"/>
              <w:right w:type="dxa" w:w="120"/>
            </w:tcMar>
          </w:tcPr>
          <w:p>
            <w:r>
              <w:t xml:space="preserve">Q_pack_usable = 72 Ah  →  E = 20.2 kWh  →  Range ≈ 112 km</w:t>
            </w:r>
          </w:p>
        </w:tc>
      </w:tr>
      <w:tr>
        <w:tc>
          <w:tcPr>
            <w:tcW w:type="dxa" w:w="3500"/>
            <w:tcMar>
              <w:top w:type="dxa" w:w="80"/>
              <w:left w:type="dxa" w:w="120"/>
              <w:bottom w:type="dxa" w:w="80"/>
              <w:right w:type="dxa" w:w="120"/>
            </w:tcMar>
          </w:tcPr>
          <w:p>
            <w:r>
              <w:t xml:space="preserve">Loss the user sees</w:t>
            </w:r>
          </w:p>
        </w:tc>
        <w:tc>
          <w:tcPr>
            <w:tcW w:type="dxa" w:w="5860"/>
            <w:tcMar>
              <w:top w:type="dxa" w:w="80"/>
              <w:left w:type="dxa" w:w="120"/>
              <w:bottom w:type="dxa" w:w="80"/>
              <w:right w:type="dxa" w:w="120"/>
            </w:tcMar>
          </w:tcPr>
          <w:p>
            <w:r>
              <w:t xml:space="preserve">‑44 km on the same 80 % reading</w:t>
            </w:r>
          </w:p>
        </w:tc>
      </w:tr>
    </w:tbl>
    <w:p>
      <w:pPr>
        <w:spacing w:after="120" w:before="80" w:line="280"/>
      </w:pPr>
      <w:r>
        <w:rPr>
          <w:b/>
          <w:bCs/>
          <w:color w:val="800020"/>
        </w:rPr>
        <w:t xml:space="preserve">Note: </w:t>
      </w:r>
      <w:r>
        <w:t xml:space="preserve">The result card at the end of a scenario will display the two range numbers side by side so the user sees the cost of cell degradation directly.</w:t>
      </w:r>
    </w:p>
    <w:p>
      <w:pPr>
        <w:pStyle w:val="Heading1"/>
        <w:spacing w:after="160" w:before="320"/>
      </w:pPr>
      <w:r>
        <w:rPr>
          <w:b/>
          <w:bCs/>
          <w:color w:val="800020"/>
          <w:sz w:val="32"/>
          <w:szCs w:val="32"/>
        </w:rPr>
        <w:t xml:space="preserve">5. Visualization &amp; UI Deliverables — DE/DKE Side</w:t>
      </w:r>
    </w:p>
    <w:p>
      <w:pPr>
        <w:pStyle w:val="Heading2"/>
        <w:spacing w:after="120" w:before="240"/>
      </w:pPr>
      <w:r>
        <w:rPr>
          <w:b/>
          <w:bCs/>
          <w:color w:val="333333"/>
          <w:sz w:val="26"/>
          <w:szCs w:val="26"/>
        </w:rPr>
        <w:t xml:space="preserve">5.1 3D Models (Blender)</w:t>
      </w:r>
    </w:p>
    <w:p>
      <w:pPr>
        <w:pStyle w:val="ListParagraph"/>
        <w:numPr>
          <w:ilvl w:val="0"/>
          <w:numId w:val="3"/>
        </w:numPr>
        <w:spacing w:after="80" w:line="280"/>
      </w:pPr>
      <w:r>
        <w:rPr>
          <w:b w:val="false"/>
          <w:bCs w:val="false"/>
        </w:rPr>
        <w:t xml:space="preserve">Battery pack outer casing (prismatic module shell, ~355 × 151 × 108 mm), low-poly with a separate top cover for the cell-grid reveal animation.</w:t>
      </w:r>
    </w:p>
    <w:p>
      <w:pPr>
        <w:pStyle w:val="ListParagraph"/>
        <w:numPr>
          <w:ilvl w:val="0"/>
          <w:numId w:val="3"/>
        </w:numPr>
        <w:spacing w:after="80" w:line="280"/>
      </w:pPr>
      <w:r>
        <w:rPr>
          <w:b w:val="false"/>
          <w:bCs w:val="false"/>
        </w:rPr>
        <w:t xml:space="preserve">Representative prismatic cell (×16) arranged in a 4×4 grid inside the module. Each cell is a separate object so per-cell shaders can drive SOH colour individually.</w:t>
      </w:r>
    </w:p>
    <w:p>
      <w:pPr>
        <w:pStyle w:val="ListParagraph"/>
        <w:numPr>
          <w:ilvl w:val="0"/>
          <w:numId w:val="3"/>
        </w:numPr>
        <w:spacing w:after="80" w:line="280"/>
      </w:pPr>
      <w:r>
        <w:rPr>
          <w:b w:val="false"/>
          <w:bCs w:val="false"/>
        </w:rPr>
        <w:t xml:space="preserve">Cell cross-section asset: anode / separator / cathode strips, ready to receive an ion-flow particle system in Sprint 4.</w:t>
      </w:r>
    </w:p>
    <w:p>
      <w:pPr>
        <w:pStyle w:val="ListParagraph"/>
        <w:numPr>
          <w:ilvl w:val="0"/>
          <w:numId w:val="3"/>
        </w:numPr>
        <w:spacing w:after="80" w:line="280"/>
      </w:pPr>
      <w:r>
        <w:rPr>
          <w:b w:val="false"/>
          <w:bCs w:val="false"/>
        </w:rPr>
        <w:t xml:space="preserve">Cooling fan unit (housing + 5-blade rotor, separated for spin animation).</w:t>
      </w:r>
    </w:p>
    <w:p>
      <w:pPr>
        <w:pStyle w:val="ListParagraph"/>
        <w:numPr>
          <w:ilvl w:val="0"/>
          <w:numId w:val="3"/>
        </w:numPr>
        <w:spacing w:after="80" w:line="280"/>
      </w:pPr>
      <w:r>
        <w:rPr>
          <w:b/>
          <w:bCs/>
        </w:rPr>
        <w:t xml:space="preserve">Export contract: </w:t>
      </w:r>
      <w:r>
        <w:t xml:space="preserve">.fbx with applied transforms, Z-up, 1 unit = 1 m, single material slot per object, named </w:t>
      </w:r>
      <w:r>
        <w:rPr>
          <w:rFonts w:ascii="Consolas" w:cs="Consolas" w:eastAsia="Consolas" w:hAnsi="Consolas"/>
          <w:sz w:val="20"/>
          <w:szCs w:val="20"/>
        </w:rPr>
        <w:t xml:space="preserve">pack_shell</w:t>
      </w:r>
      <w:r>
        <w:t xml:space="preserve">, </w:t>
      </w:r>
      <w:r>
        <w:rPr>
          <w:rFonts w:ascii="Consolas" w:cs="Consolas" w:eastAsia="Consolas" w:hAnsi="Consolas"/>
          <w:sz w:val="20"/>
          <w:szCs w:val="20"/>
        </w:rPr>
        <w:t xml:space="preserve">cell_##</w:t>
      </w:r>
      <w:r>
        <w:t xml:space="preserve">, </w:t>
      </w:r>
      <w:r>
        <w:rPr>
          <w:rFonts w:ascii="Consolas" w:cs="Consolas" w:eastAsia="Consolas" w:hAnsi="Consolas"/>
          <w:sz w:val="20"/>
          <w:szCs w:val="20"/>
        </w:rPr>
        <w:t xml:space="preserve">fan_housing</w:t>
      </w:r>
      <w:r>
        <w:t xml:space="preserve">, </w:t>
      </w:r>
      <w:r>
        <w:rPr>
          <w:rFonts w:ascii="Consolas" w:cs="Consolas" w:eastAsia="Consolas" w:hAnsi="Consolas"/>
          <w:sz w:val="20"/>
          <w:szCs w:val="20"/>
        </w:rPr>
        <w:t xml:space="preserve">fan_rotor</w:t>
      </w:r>
      <w:r>
        <w:t xml:space="preserve">.</w:t>
      </w:r>
    </w:p>
    <w:p>
      <w:pPr>
        <w:pStyle w:val="Heading2"/>
        <w:spacing w:after="120" w:before="240"/>
      </w:pPr>
      <w:r>
        <w:rPr>
          <w:b/>
          <w:bCs/>
          <w:color w:val="333333"/>
          <w:sz w:val="26"/>
          <w:szCs w:val="26"/>
        </w:rPr>
        <w:t xml:space="preserve">5.2 UI Mockups — Updated for SOH Module</w:t>
      </w:r>
    </w:p>
    <w:p>
      <w:pPr>
        <w:spacing w:after="120" w:line="300"/>
      </w:pPr>
      <w:r>
        <w:t xml:space="preserve">The Sprint 1 dashboard had a single SOC ring, a temperature card, current readout, and runaway-risk banner. Sprint 2 adds three elements driven by section 4.3 and 4.4:</w:t>
      </w:r>
    </w:p>
    <w:p>
      <w:pPr>
        <w:pStyle w:val="ListParagraph"/>
        <w:numPr>
          <w:ilvl w:val="0"/>
          <w:numId w:val="3"/>
        </w:numPr>
        <w:spacing w:after="80" w:line="280"/>
      </w:pPr>
      <w:r>
        <w:rPr>
          <w:b/>
          <w:bCs/>
        </w:rPr>
        <w:t xml:space="preserve">Dual SOC gauge — </w:t>
      </w:r>
      <w:r>
        <w:t xml:space="preserve">outer ring shows displayed SOC, inner ring shows SOC_actual. The wedge between them is the SOH penalty.</w:t>
      </w:r>
    </w:p>
    <w:p>
      <w:pPr>
        <w:pStyle w:val="ListParagraph"/>
        <w:numPr>
          <w:ilvl w:val="0"/>
          <w:numId w:val="3"/>
        </w:numPr>
        <w:spacing w:after="80" w:line="280"/>
      </w:pPr>
      <w:r>
        <w:rPr>
          <w:b/>
          <w:bCs/>
        </w:rPr>
        <w:t xml:space="preserve">Cell-grid SOH heatmap — </w:t>
      </w:r>
      <w:r>
        <w:t xml:space="preserve">4×4 tile widget mirroring the 3D cell layout, coloured green (SOH ≥ 0.90) → yellow (0.80–0.90) → red (&lt; 0.80). Hovering a tile highlights the matching 3D cell.</w:t>
      </w:r>
    </w:p>
    <w:p>
      <w:pPr>
        <w:pStyle w:val="ListParagraph"/>
        <w:numPr>
          <w:ilvl w:val="0"/>
          <w:numId w:val="3"/>
        </w:numPr>
        <w:spacing w:after="80" w:line="280"/>
      </w:pPr>
      <w:r>
        <w:rPr>
          <w:b/>
          <w:bCs/>
        </w:rPr>
        <w:t xml:space="preserve">Range readout — </w:t>
      </w:r>
      <w:r>
        <w:t xml:space="preserve">two numbers: range if pack were healthy, range with current SOH. The delta is the headline number.</w:t>
      </w:r>
    </w:p>
    <w:p>
      <w:pPr>
        <w:pStyle w:val="Heading2"/>
        <w:spacing w:after="120" w:before="240"/>
      </w:pPr>
      <w:r>
        <w:rPr>
          <w:b/>
          <w:bCs/>
          <w:color w:val="333333"/>
          <w:sz w:val="26"/>
          <w:szCs w:val="26"/>
        </w:rPr>
        <w:t xml:space="preserve">5.3 Parameter-to-UI Mapping</w:t>
      </w:r>
    </w:p>
    <w:p>
      <w:pPr>
        <w:spacing w:after="120" w:line="300"/>
      </w:pPr>
      <w:r>
        <w:t xml:space="preserve">This is the contract between CEE process math and DE Unity bindings. Every entry must be implemented by a script in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400"/>
        <w:gridCol w:w="3260"/>
      </w:tblGrid>
      <w:tr>
        <w:tc>
          <w:tcPr>
            <w:tcW w:type="dxa" w:w="1600"/>
            <w:shd w:fill="800020" w:val="clear"/>
            <w:tcMar>
              <w:top w:type="dxa" w:w="100"/>
              <w:left w:type="dxa" w:w="120"/>
              <w:bottom w:type="dxa" w:w="100"/>
              <w:right w:type="dxa" w:w="120"/>
            </w:tcMar>
          </w:tcPr>
          <w:p>
            <w:r>
              <w:rPr>
                <w:b/>
                <w:bCs/>
                <w:color w:val="FFFFFF"/>
              </w:rPr>
              <w:t xml:space="preserve">Symbol</w:t>
            </w:r>
          </w:p>
        </w:tc>
        <w:tc>
          <w:tcPr>
            <w:tcW w:type="dxa" w:w="1100"/>
            <w:shd w:fill="800020" w:val="clear"/>
            <w:tcMar>
              <w:top w:type="dxa" w:w="100"/>
              <w:left w:type="dxa" w:w="120"/>
              <w:bottom w:type="dxa" w:w="100"/>
              <w:right w:type="dxa" w:w="120"/>
            </w:tcMar>
          </w:tcPr>
          <w:p>
            <w:r>
              <w:rPr>
                <w:b/>
                <w:bCs/>
                <w:color w:val="FFFFFF"/>
              </w:rPr>
              <w:t xml:space="preserve">Unit</w:t>
            </w:r>
          </w:p>
        </w:tc>
        <w:tc>
          <w:tcPr>
            <w:tcW w:type="dxa" w:w="3400"/>
            <w:shd w:fill="800020" w:val="clear"/>
            <w:tcMar>
              <w:top w:type="dxa" w:w="100"/>
              <w:left w:type="dxa" w:w="120"/>
              <w:bottom w:type="dxa" w:w="100"/>
              <w:right w:type="dxa" w:w="120"/>
            </w:tcMar>
          </w:tcPr>
          <w:p>
            <w:r>
              <w:rPr>
                <w:b/>
                <w:bCs/>
                <w:color w:val="FFFFFF"/>
              </w:rPr>
              <w:t xml:space="preserve">UI element</w:t>
            </w:r>
          </w:p>
        </w:tc>
        <w:tc>
          <w:tcPr>
            <w:tcW w:type="dxa" w:w="3260"/>
            <w:shd w:fill="800020" w:val="clear"/>
            <w:tcMar>
              <w:top w:type="dxa" w:w="100"/>
              <w:left w:type="dxa" w:w="120"/>
              <w:bottom w:type="dxa" w:w="100"/>
              <w:right w:type="dxa" w:w="120"/>
            </w:tcMar>
          </w:tcPr>
          <w:p>
            <w:r>
              <w:rPr>
                <w:b/>
                <w:bCs/>
                <w:color w:val="FFFFFF"/>
              </w:rPr>
              <w:t xml:space="preserve">Source</w:t>
            </w:r>
          </w:p>
        </w:tc>
      </w:tr>
      <w:tr>
        <w:tc>
          <w:tcPr>
            <w:tcW w:type="dxa" w:w="1600"/>
            <w:tcMar>
              <w:top w:type="dxa" w:w="80"/>
              <w:left w:type="dxa" w:w="120"/>
              <w:bottom w:type="dxa" w:w="80"/>
              <w:right w:type="dxa" w:w="120"/>
            </w:tcMar>
          </w:tcPr>
          <w:p>
            <w:r>
              <w:t xml:space="preserve">I</w:t>
            </w:r>
          </w:p>
        </w:tc>
        <w:tc>
          <w:tcPr>
            <w:tcW w:type="dxa" w:w="1100"/>
            <w:tcMar>
              <w:top w:type="dxa" w:w="80"/>
              <w:left w:type="dxa" w:w="120"/>
              <w:bottom w:type="dxa" w:w="80"/>
              <w:right w:type="dxa" w:w="120"/>
            </w:tcMar>
          </w:tcPr>
          <w:p>
            <w:r>
              <w:t xml:space="preserve">A (C-rate)</w:t>
            </w:r>
          </w:p>
        </w:tc>
        <w:tc>
          <w:tcPr>
            <w:tcW w:type="dxa" w:w="3400"/>
            <w:tcMar>
              <w:top w:type="dxa" w:w="80"/>
              <w:left w:type="dxa" w:w="120"/>
              <w:bottom w:type="dxa" w:w="80"/>
              <w:right w:type="dxa" w:w="120"/>
            </w:tcMar>
          </w:tcPr>
          <w:p>
            <w:r>
              <w:t xml:space="preserve">Current slider</w:t>
            </w:r>
          </w:p>
        </w:tc>
        <w:tc>
          <w:tcPr>
            <w:tcW w:type="dxa" w:w="3260"/>
            <w:tcMar>
              <w:top w:type="dxa" w:w="80"/>
              <w:left w:type="dxa" w:w="120"/>
              <w:bottom w:type="dxa" w:w="80"/>
              <w:right w:type="dxa" w:w="120"/>
            </w:tcMar>
          </w:tcPr>
          <w:p>
            <w:r>
              <w:t xml:space="preserve">User input</w:t>
            </w:r>
          </w:p>
        </w:tc>
      </w:tr>
      <w:tr>
        <w:tc>
          <w:tcPr>
            <w:tcW w:type="dxa" w:w="1600"/>
            <w:shd w:fill="FAFAFA" w:val="clear"/>
            <w:tcMar>
              <w:top w:type="dxa" w:w="80"/>
              <w:left w:type="dxa" w:w="120"/>
              <w:bottom w:type="dxa" w:w="80"/>
              <w:right w:type="dxa" w:w="120"/>
            </w:tcMar>
          </w:tcPr>
          <w:p>
            <w:r>
              <w:t xml:space="preserve">T_amb</w:t>
            </w:r>
          </w:p>
        </w:tc>
        <w:tc>
          <w:tcPr>
            <w:tcW w:type="dxa" w:w="1100"/>
            <w:shd w:fill="FAFAFA" w:val="clear"/>
            <w:tcMar>
              <w:top w:type="dxa" w:w="80"/>
              <w:left w:type="dxa" w:w="120"/>
              <w:bottom w:type="dxa" w:w="80"/>
              <w:right w:type="dxa" w:w="120"/>
            </w:tcMar>
          </w:tcPr>
          <w:p>
            <w:r>
              <w:t xml:space="preserve">°C</w:t>
            </w:r>
          </w:p>
        </w:tc>
        <w:tc>
          <w:tcPr>
            <w:tcW w:type="dxa" w:w="3400"/>
            <w:shd w:fill="FAFAFA" w:val="clear"/>
            <w:tcMar>
              <w:top w:type="dxa" w:w="80"/>
              <w:left w:type="dxa" w:w="120"/>
              <w:bottom w:type="dxa" w:w="80"/>
              <w:right w:type="dxa" w:w="120"/>
            </w:tcMar>
          </w:tcPr>
          <w:p>
            <w:r>
              <w:t xml:space="preserve">Ambient slider</w:t>
            </w:r>
          </w:p>
        </w:tc>
        <w:tc>
          <w:tcPr>
            <w:tcW w:type="dxa" w:w="3260"/>
            <w:shd w:fill="FAFAFA" w:val="clear"/>
            <w:tcMar>
              <w:top w:type="dxa" w:w="80"/>
              <w:left w:type="dxa" w:w="120"/>
              <w:bottom w:type="dxa" w:w="80"/>
              <w:right w:type="dxa" w:w="120"/>
            </w:tcMar>
          </w:tcPr>
          <w:p>
            <w:r>
              <w:t xml:space="preserve">User input</w:t>
            </w:r>
          </w:p>
        </w:tc>
      </w:tr>
      <w:tr>
        <w:tc>
          <w:tcPr>
            <w:tcW w:type="dxa" w:w="1600"/>
            <w:tcMar>
              <w:top w:type="dxa" w:w="80"/>
              <w:left w:type="dxa" w:w="120"/>
              <w:bottom w:type="dxa" w:w="80"/>
              <w:right w:type="dxa" w:w="120"/>
            </w:tcMar>
          </w:tcPr>
          <w:p>
            <w:r>
              <w:t xml:space="preserve">BMS mode</w:t>
            </w:r>
          </w:p>
        </w:tc>
        <w:tc>
          <w:tcPr>
            <w:tcW w:type="dxa" w:w="1100"/>
            <w:tcMar>
              <w:top w:type="dxa" w:w="80"/>
              <w:left w:type="dxa" w:w="120"/>
              <w:bottom w:type="dxa" w:w="80"/>
              <w:right w:type="dxa" w:w="120"/>
            </w:tcMar>
          </w:tcPr>
          <w:p>
            <w:r>
              <w:t xml:space="preserve">—</w:t>
            </w:r>
          </w:p>
        </w:tc>
        <w:tc>
          <w:tcPr>
            <w:tcW w:type="dxa" w:w="3400"/>
            <w:tcMar>
              <w:top w:type="dxa" w:w="80"/>
              <w:left w:type="dxa" w:w="120"/>
              <w:bottom w:type="dxa" w:w="80"/>
              <w:right w:type="dxa" w:w="120"/>
            </w:tcMar>
          </w:tcPr>
          <w:p>
            <w:r>
              <w:t xml:space="preserve">Mode dropdown</w:t>
            </w:r>
          </w:p>
        </w:tc>
        <w:tc>
          <w:tcPr>
            <w:tcW w:type="dxa" w:w="3260"/>
            <w:tcMar>
              <w:top w:type="dxa" w:w="80"/>
              <w:left w:type="dxa" w:w="120"/>
              <w:bottom w:type="dxa" w:w="80"/>
              <w:right w:type="dxa" w:w="120"/>
            </w:tcMar>
          </w:tcPr>
          <w:p>
            <w:r>
              <w:t xml:space="preserve">User input</w:t>
            </w:r>
          </w:p>
        </w:tc>
      </w:tr>
      <w:tr>
        <w:tc>
          <w:tcPr>
            <w:tcW w:type="dxa" w:w="1600"/>
            <w:shd w:fill="FAFAFA" w:val="clear"/>
            <w:tcMar>
              <w:top w:type="dxa" w:w="80"/>
              <w:left w:type="dxa" w:w="120"/>
              <w:bottom w:type="dxa" w:w="80"/>
              <w:right w:type="dxa" w:w="120"/>
            </w:tcMar>
          </w:tcPr>
          <w:p>
            <w:r>
              <w:t xml:space="preserve">SOC_displayed</w:t>
            </w:r>
          </w:p>
        </w:tc>
        <w:tc>
          <w:tcPr>
            <w:tcW w:type="dxa" w:w="1100"/>
            <w:shd w:fill="FAFAFA" w:val="clear"/>
            <w:tcMar>
              <w:top w:type="dxa" w:w="80"/>
              <w:left w:type="dxa" w:w="120"/>
              <w:bottom w:type="dxa" w:w="80"/>
              <w:right w:type="dxa" w:w="120"/>
            </w:tcMar>
          </w:tcPr>
          <w:p>
            <w:r>
              <w:t xml:space="preserve">%</w:t>
            </w:r>
          </w:p>
        </w:tc>
        <w:tc>
          <w:tcPr>
            <w:tcW w:type="dxa" w:w="3400"/>
            <w:shd w:fill="FAFAFA" w:val="clear"/>
            <w:tcMar>
              <w:top w:type="dxa" w:w="80"/>
              <w:left w:type="dxa" w:w="120"/>
              <w:bottom w:type="dxa" w:w="80"/>
              <w:right w:type="dxa" w:w="120"/>
            </w:tcMar>
          </w:tcPr>
          <w:p>
            <w:r>
              <w:t xml:space="preserve">Outer SOC ring</w:t>
            </w:r>
          </w:p>
        </w:tc>
        <w:tc>
          <w:tcPr>
            <w:tcW w:type="dxa" w:w="3260"/>
            <w:shd w:fill="FAFAFA" w:val="clear"/>
            <w:tcMar>
              <w:top w:type="dxa" w:w="80"/>
              <w:left w:type="dxa" w:w="120"/>
              <w:bottom w:type="dxa" w:w="80"/>
              <w:right w:type="dxa" w:w="120"/>
            </w:tcMar>
          </w:tcPr>
          <w:p>
            <w:r>
              <w:t xml:space="preserve">Eq. 4.1</w:t>
            </w:r>
          </w:p>
        </w:tc>
      </w:tr>
      <w:tr>
        <w:tc>
          <w:tcPr>
            <w:tcW w:type="dxa" w:w="1600"/>
            <w:tcMar>
              <w:top w:type="dxa" w:w="80"/>
              <w:left w:type="dxa" w:w="120"/>
              <w:bottom w:type="dxa" w:w="80"/>
              <w:right w:type="dxa" w:w="120"/>
            </w:tcMar>
          </w:tcPr>
          <w:p>
            <w:r>
              <w:t xml:space="preserve">SOC_actual</w:t>
            </w:r>
          </w:p>
        </w:tc>
        <w:tc>
          <w:tcPr>
            <w:tcW w:type="dxa" w:w="1100"/>
            <w:tcMar>
              <w:top w:type="dxa" w:w="80"/>
              <w:left w:type="dxa" w:w="120"/>
              <w:bottom w:type="dxa" w:w="80"/>
              <w:right w:type="dxa" w:w="120"/>
            </w:tcMar>
          </w:tcPr>
          <w:p>
            <w:r>
              <w:t xml:space="preserve">%</w:t>
            </w:r>
          </w:p>
        </w:tc>
        <w:tc>
          <w:tcPr>
            <w:tcW w:type="dxa" w:w="3400"/>
            <w:tcMar>
              <w:top w:type="dxa" w:w="80"/>
              <w:left w:type="dxa" w:w="120"/>
              <w:bottom w:type="dxa" w:w="80"/>
              <w:right w:type="dxa" w:w="120"/>
            </w:tcMar>
          </w:tcPr>
          <w:p>
            <w:r>
              <w:t xml:space="preserve">Inner SOC ring</w:t>
            </w:r>
          </w:p>
        </w:tc>
        <w:tc>
          <w:tcPr>
            <w:tcW w:type="dxa" w:w="3260"/>
            <w:tcMar>
              <w:top w:type="dxa" w:w="80"/>
              <w:left w:type="dxa" w:w="120"/>
              <w:bottom w:type="dxa" w:w="80"/>
              <w:right w:type="dxa" w:w="120"/>
            </w:tcMar>
          </w:tcPr>
          <w:p>
            <w:r>
              <w:t xml:space="preserve">Eq. 4.3</w:t>
            </w:r>
          </w:p>
        </w:tc>
      </w:tr>
      <w:tr>
        <w:tc>
          <w:tcPr>
            <w:tcW w:type="dxa" w:w="1600"/>
            <w:shd w:fill="FAFAFA" w:val="clear"/>
            <w:tcMar>
              <w:top w:type="dxa" w:w="80"/>
              <w:left w:type="dxa" w:w="120"/>
              <w:bottom w:type="dxa" w:w="80"/>
              <w:right w:type="dxa" w:w="120"/>
            </w:tcMar>
          </w:tcPr>
          <w:p>
            <w:r>
              <w:t xml:space="preserve">T_pack</w:t>
            </w:r>
          </w:p>
        </w:tc>
        <w:tc>
          <w:tcPr>
            <w:tcW w:type="dxa" w:w="1100"/>
            <w:shd w:fill="FAFAFA" w:val="clear"/>
            <w:tcMar>
              <w:top w:type="dxa" w:w="80"/>
              <w:left w:type="dxa" w:w="120"/>
              <w:bottom w:type="dxa" w:w="80"/>
              <w:right w:type="dxa" w:w="120"/>
            </w:tcMar>
          </w:tcPr>
          <w:p>
            <w:r>
              <w:t xml:space="preserve">°C</w:t>
            </w:r>
          </w:p>
        </w:tc>
        <w:tc>
          <w:tcPr>
            <w:tcW w:type="dxa" w:w="3400"/>
            <w:shd w:fill="FAFAFA" w:val="clear"/>
            <w:tcMar>
              <w:top w:type="dxa" w:w="80"/>
              <w:left w:type="dxa" w:w="120"/>
              <w:bottom w:type="dxa" w:w="80"/>
              <w:right w:type="dxa" w:w="120"/>
            </w:tcMar>
          </w:tcPr>
          <w:p>
            <w:r>
              <w:t xml:space="preserve">Temperature card + 3D shell colour</w:t>
            </w:r>
          </w:p>
        </w:tc>
        <w:tc>
          <w:tcPr>
            <w:tcW w:type="dxa" w:w="3260"/>
            <w:shd w:fill="FAFAFA" w:val="clear"/>
            <w:tcMar>
              <w:top w:type="dxa" w:w="80"/>
              <w:left w:type="dxa" w:w="120"/>
              <w:bottom w:type="dxa" w:w="80"/>
              <w:right w:type="dxa" w:w="120"/>
            </w:tcMar>
          </w:tcPr>
          <w:p>
            <w:r>
              <w:t xml:space="preserve">Eq. 4.2</w:t>
            </w:r>
          </w:p>
        </w:tc>
      </w:tr>
      <w:tr>
        <w:tc>
          <w:tcPr>
            <w:tcW w:type="dxa" w:w="1600"/>
            <w:tcMar>
              <w:top w:type="dxa" w:w="80"/>
              <w:left w:type="dxa" w:w="120"/>
              <w:bottom w:type="dxa" w:w="80"/>
              <w:right w:type="dxa" w:w="120"/>
            </w:tcMar>
          </w:tcPr>
          <w:p>
            <w:r>
              <w:t xml:space="preserve">SOH_j (j=1..16)</w:t>
            </w:r>
          </w:p>
        </w:tc>
        <w:tc>
          <w:tcPr>
            <w:tcW w:type="dxa" w:w="1100"/>
            <w:tcMar>
              <w:top w:type="dxa" w:w="80"/>
              <w:left w:type="dxa" w:w="120"/>
              <w:bottom w:type="dxa" w:w="80"/>
              <w:right w:type="dxa" w:w="120"/>
            </w:tcMar>
          </w:tcPr>
          <w:p>
            <w:r>
              <w:t xml:space="preserve">—</w:t>
            </w:r>
          </w:p>
        </w:tc>
        <w:tc>
          <w:tcPr>
            <w:tcW w:type="dxa" w:w="3400"/>
            <w:tcMar>
              <w:top w:type="dxa" w:w="80"/>
              <w:left w:type="dxa" w:w="120"/>
              <w:bottom w:type="dxa" w:w="80"/>
              <w:right w:type="dxa" w:w="120"/>
            </w:tcMar>
          </w:tcPr>
          <w:p>
            <w:r>
              <w:t xml:space="preserve">Cell heatmap tile + 3D cell colour</w:t>
            </w:r>
          </w:p>
        </w:tc>
        <w:tc>
          <w:tcPr>
            <w:tcW w:type="dxa" w:w="3260"/>
            <w:tcMar>
              <w:top w:type="dxa" w:w="80"/>
              <w:left w:type="dxa" w:w="120"/>
              <w:bottom w:type="dxa" w:w="80"/>
              <w:right w:type="dxa" w:w="120"/>
            </w:tcMar>
          </w:tcPr>
          <w:p>
            <w:r>
              <w:t xml:space="preserve">Eq. 4.3</w:t>
            </w:r>
          </w:p>
        </w:tc>
      </w:tr>
      <w:tr>
        <w:tc>
          <w:tcPr>
            <w:tcW w:type="dxa" w:w="1600"/>
            <w:shd w:fill="FAFAFA" w:val="clear"/>
            <w:tcMar>
              <w:top w:type="dxa" w:w="80"/>
              <w:left w:type="dxa" w:w="120"/>
              <w:bottom w:type="dxa" w:w="80"/>
              <w:right w:type="dxa" w:w="120"/>
            </w:tcMar>
          </w:tcPr>
          <w:p>
            <w:r>
              <w:t xml:space="preserve">SOH_pack</w:t>
            </w:r>
          </w:p>
        </w:tc>
        <w:tc>
          <w:tcPr>
            <w:tcW w:type="dxa" w:w="1100"/>
            <w:shd w:fill="FAFAFA" w:val="clear"/>
            <w:tcMar>
              <w:top w:type="dxa" w:w="80"/>
              <w:left w:type="dxa" w:w="120"/>
              <w:bottom w:type="dxa" w:w="80"/>
              <w:right w:type="dxa" w:w="120"/>
            </w:tcMar>
          </w:tcPr>
          <w:p>
            <w:r>
              <w:t xml:space="preserve">—</w:t>
            </w:r>
          </w:p>
        </w:tc>
        <w:tc>
          <w:tcPr>
            <w:tcW w:type="dxa" w:w="3400"/>
            <w:shd w:fill="FAFAFA" w:val="clear"/>
            <w:tcMar>
              <w:top w:type="dxa" w:w="80"/>
              <w:left w:type="dxa" w:w="120"/>
              <w:bottom w:type="dxa" w:w="80"/>
              <w:right w:type="dxa" w:w="120"/>
            </w:tcMar>
          </w:tcPr>
          <w:p>
            <w:r>
              <w:t xml:space="preserve">SOH bar in dashboard footer</w:t>
            </w:r>
          </w:p>
        </w:tc>
        <w:tc>
          <w:tcPr>
            <w:tcW w:type="dxa" w:w="3260"/>
            <w:shd w:fill="FAFAFA" w:val="clear"/>
            <w:tcMar>
              <w:top w:type="dxa" w:w="80"/>
              <w:left w:type="dxa" w:w="120"/>
              <w:bottom w:type="dxa" w:w="80"/>
              <w:right w:type="dxa" w:w="120"/>
            </w:tcMar>
          </w:tcPr>
          <w:p>
            <w:r>
              <w:t xml:space="preserve">Eq. 4.3</w:t>
            </w:r>
          </w:p>
        </w:tc>
      </w:tr>
      <w:tr>
        <w:tc>
          <w:tcPr>
            <w:tcW w:type="dxa" w:w="1600"/>
            <w:tcMar>
              <w:top w:type="dxa" w:w="80"/>
              <w:left w:type="dxa" w:w="120"/>
              <w:bottom w:type="dxa" w:w="80"/>
              <w:right w:type="dxa" w:w="120"/>
            </w:tcMar>
          </w:tcPr>
          <w:p>
            <w:r>
              <w:t xml:space="preserve">Range_healthy</w:t>
            </w:r>
          </w:p>
        </w:tc>
        <w:tc>
          <w:tcPr>
            <w:tcW w:type="dxa" w:w="1100"/>
            <w:tcMar>
              <w:top w:type="dxa" w:w="80"/>
              <w:left w:type="dxa" w:w="120"/>
              <w:bottom w:type="dxa" w:w="80"/>
              <w:right w:type="dxa" w:w="120"/>
            </w:tcMar>
          </w:tcPr>
          <w:p>
            <w:r>
              <w:t xml:space="preserve">km</w:t>
            </w:r>
          </w:p>
        </w:tc>
        <w:tc>
          <w:tcPr>
            <w:tcW w:type="dxa" w:w="3400"/>
            <w:tcMar>
              <w:top w:type="dxa" w:w="80"/>
              <w:left w:type="dxa" w:w="120"/>
              <w:bottom w:type="dxa" w:w="80"/>
              <w:right w:type="dxa" w:w="120"/>
            </w:tcMar>
          </w:tcPr>
          <w:p>
            <w:r>
              <w:t xml:space="preserve">Range readout (grey)</w:t>
            </w:r>
          </w:p>
        </w:tc>
        <w:tc>
          <w:tcPr>
            <w:tcW w:type="dxa" w:w="3260"/>
            <w:tcMar>
              <w:top w:type="dxa" w:w="80"/>
              <w:left w:type="dxa" w:w="120"/>
              <w:bottom w:type="dxa" w:w="80"/>
              <w:right w:type="dxa" w:w="120"/>
            </w:tcMar>
          </w:tcPr>
          <w:p>
            <w:r>
              <w:t xml:space="preserve">Eq. 4.4</w:t>
            </w:r>
          </w:p>
        </w:tc>
      </w:tr>
      <w:tr>
        <w:tc>
          <w:tcPr>
            <w:tcW w:type="dxa" w:w="1600"/>
            <w:shd w:fill="FAFAFA" w:val="clear"/>
            <w:tcMar>
              <w:top w:type="dxa" w:w="80"/>
              <w:left w:type="dxa" w:w="120"/>
              <w:bottom w:type="dxa" w:w="80"/>
              <w:right w:type="dxa" w:w="120"/>
            </w:tcMar>
          </w:tcPr>
          <w:p>
            <w:r>
              <w:t xml:space="preserve">Range_actual</w:t>
            </w:r>
          </w:p>
        </w:tc>
        <w:tc>
          <w:tcPr>
            <w:tcW w:type="dxa" w:w="1100"/>
            <w:shd w:fill="FAFAFA" w:val="clear"/>
            <w:tcMar>
              <w:top w:type="dxa" w:w="80"/>
              <w:left w:type="dxa" w:w="120"/>
              <w:bottom w:type="dxa" w:w="80"/>
              <w:right w:type="dxa" w:w="120"/>
            </w:tcMar>
          </w:tcPr>
          <w:p>
            <w:r>
              <w:t xml:space="preserve">km</w:t>
            </w:r>
          </w:p>
        </w:tc>
        <w:tc>
          <w:tcPr>
            <w:tcW w:type="dxa" w:w="3400"/>
            <w:shd w:fill="FAFAFA" w:val="clear"/>
            <w:tcMar>
              <w:top w:type="dxa" w:w="80"/>
              <w:left w:type="dxa" w:w="120"/>
              <w:bottom w:type="dxa" w:w="80"/>
              <w:right w:type="dxa" w:w="120"/>
            </w:tcMar>
          </w:tcPr>
          <w:p>
            <w:r>
              <w:t xml:space="preserve">Range readout (maroon)</w:t>
            </w:r>
          </w:p>
        </w:tc>
        <w:tc>
          <w:tcPr>
            <w:tcW w:type="dxa" w:w="3260"/>
            <w:shd w:fill="FAFAFA" w:val="clear"/>
            <w:tcMar>
              <w:top w:type="dxa" w:w="80"/>
              <w:left w:type="dxa" w:w="120"/>
              <w:bottom w:type="dxa" w:w="80"/>
              <w:right w:type="dxa" w:w="120"/>
            </w:tcMar>
          </w:tcPr>
          <w:p>
            <w:r>
              <w:t xml:space="preserve">Eq. 4.4</w:t>
            </w:r>
          </w:p>
        </w:tc>
      </w:tr>
      <w:tr>
        <w:tc>
          <w:tcPr>
            <w:tcW w:type="dxa" w:w="1600"/>
            <w:tcMar>
              <w:top w:type="dxa" w:w="80"/>
              <w:left w:type="dxa" w:w="120"/>
              <w:bottom w:type="dxa" w:w="80"/>
              <w:right w:type="dxa" w:w="120"/>
            </w:tcMar>
          </w:tcPr>
          <w:p>
            <w:r>
              <w:t xml:space="preserve">Warning state</w:t>
            </w:r>
          </w:p>
        </w:tc>
        <w:tc>
          <w:tcPr>
            <w:tcW w:type="dxa" w:w="1100"/>
            <w:tcMar>
              <w:top w:type="dxa" w:w="80"/>
              <w:left w:type="dxa" w:w="120"/>
              <w:bottom w:type="dxa" w:w="80"/>
              <w:right w:type="dxa" w:w="120"/>
            </w:tcMar>
          </w:tcPr>
          <w:p>
            <w:r>
              <w:t xml:space="preserve">enum</w:t>
            </w:r>
          </w:p>
        </w:tc>
        <w:tc>
          <w:tcPr>
            <w:tcW w:type="dxa" w:w="3400"/>
            <w:tcMar>
              <w:top w:type="dxa" w:w="80"/>
              <w:left w:type="dxa" w:w="120"/>
              <w:bottom w:type="dxa" w:w="80"/>
              <w:right w:type="dxa" w:w="120"/>
            </w:tcMar>
          </w:tcPr>
          <w:p>
            <w:r>
              <w:t xml:space="preserve">Banner colour + text</w:t>
            </w:r>
          </w:p>
        </w:tc>
        <w:tc>
          <w:tcPr>
            <w:tcW w:type="dxa" w:w="3260"/>
            <w:tcMar>
              <w:top w:type="dxa" w:w="80"/>
              <w:left w:type="dxa" w:w="120"/>
              <w:bottom w:type="dxa" w:w="80"/>
              <w:right w:type="dxa" w:w="120"/>
            </w:tcMar>
          </w:tcPr>
          <w:p>
            <w:r>
              <w:t xml:space="preserve">BMS logic</w:t>
            </w:r>
          </w:p>
        </w:tc>
      </w:tr>
    </w:tbl>
    <w:p>
      <w:pPr>
        <w:pStyle w:val="Heading1"/>
        <w:spacing w:after="160" w:before="320"/>
      </w:pPr>
      <w:r>
        <w:rPr>
          <w:b/>
          <w:bCs/>
          <w:color w:val="800020"/>
          <w:sz w:val="32"/>
          <w:szCs w:val="32"/>
        </w:rPr>
        <w:t xml:space="preserve">6. Blender &amp; Unity Work Breakdown</w:t>
      </w:r>
    </w:p>
    <w:p>
      <w:pPr>
        <w:spacing w:after="120" w:line="300"/>
      </w:pPr>
      <w:r>
        <w:t xml:space="preserve">Two of the DE/DKE members will own Blender authoring, two will own Unity integration. To make handover predictable we will commit assets and scripts via the GitHub repo set up in Sprint 1.</w:t>
      </w:r>
    </w:p>
    <w:p>
      <w:pPr>
        <w:pStyle w:val="Heading2"/>
        <w:spacing w:after="120" w:before="240"/>
      </w:pPr>
      <w:r>
        <w:rPr>
          <w:b/>
          <w:bCs/>
          <w:color w:val="333333"/>
          <w:sz w:val="26"/>
          <w:szCs w:val="26"/>
        </w:rPr>
        <w:t xml:space="preserve">6.1 Blender — scripted asset generation</w:t>
      </w:r>
    </w:p>
    <w:p>
      <w:pPr>
        <w:spacing w:after="120" w:line="300"/>
      </w:pPr>
      <w:r>
        <w:t xml:space="preserve">To keep the geometry reproducible (and to let CEE re-export if dimensions change), the battery pack will be built by a parameterised Blender Python script rather than by hand. The script lives at /assets/blender/build_pack.py. Inputs: cell rows, cell cols, cell width/height/depth, shell thickness, fan presence. Outputs: a Collection per logical object, ready for .fbx export.</w:t>
      </w:r>
    </w:p>
    <w:p>
      <w:pPr>
        <w:pStyle w:val="ListParagraph"/>
        <w:numPr>
          <w:ilvl w:val="0"/>
          <w:numId w:val="3"/>
        </w:numPr>
        <w:spacing w:after="80" w:line="280"/>
      </w:pPr>
      <w:r>
        <w:rPr>
          <w:b w:val="false"/>
          <w:bCs w:val="false"/>
        </w:rPr>
        <w:t xml:space="preserve">Run with: blender --background --python build_pack.py -- --rows 4 --cols 4 --out pack.fbx</w:t>
      </w:r>
    </w:p>
    <w:p>
      <w:pPr>
        <w:pStyle w:val="ListParagraph"/>
        <w:numPr>
          <w:ilvl w:val="0"/>
          <w:numId w:val="3"/>
        </w:numPr>
        <w:spacing w:after="80" w:line="280"/>
      </w:pPr>
      <w:r>
        <w:rPr>
          <w:b w:val="false"/>
          <w:bCs w:val="false"/>
        </w:rPr>
        <w:t xml:space="preserve">Each cell is named cell_00 … cell_15 to match the SOH array index used in Unity.</w:t>
      </w:r>
    </w:p>
    <w:p>
      <w:pPr>
        <w:pStyle w:val="ListParagraph"/>
        <w:numPr>
          <w:ilvl w:val="0"/>
          <w:numId w:val="3"/>
        </w:numPr>
        <w:spacing w:after="80" w:line="280"/>
      </w:pPr>
      <w:r>
        <w:rPr>
          <w:b w:val="false"/>
          <w:bCs w:val="false"/>
        </w:rPr>
        <w:t xml:space="preserve">Materials are placeholders — final PBR textures land in Sprint 4.</w:t>
      </w:r>
    </w:p>
    <w:p>
      <w:pPr>
        <w:pStyle w:val="Heading2"/>
        <w:spacing w:after="120" w:before="240"/>
      </w:pPr>
      <w:r>
        <w:rPr>
          <w:b/>
          <w:bCs/>
          <w:color w:val="333333"/>
          <w:sz w:val="26"/>
          <w:szCs w:val="26"/>
        </w:rPr>
        <w:t xml:space="preserve">6.2 Unity — scene scaffold and scripts</w:t>
      </w:r>
    </w:p>
    <w:p>
      <w:pPr>
        <w:spacing w:after="120" w:line="300"/>
      </w:pPr>
      <w:r>
        <w:t xml:space="preserve">Unity 2022 LTS, URP. Sprint 2 produces a single demo scene SafeCharge_Demo.unity containing:</w:t>
      </w:r>
    </w:p>
    <w:p>
      <w:pPr>
        <w:pStyle w:val="ListParagraph"/>
        <w:numPr>
          <w:ilvl w:val="0"/>
          <w:numId w:val="3"/>
        </w:numPr>
        <w:spacing w:after="80" w:line="280"/>
      </w:pPr>
      <w:r>
        <w:rPr>
          <w:rFonts w:ascii="Consolas" w:cs="Consolas" w:eastAsia="Consolas" w:hAnsi="Consolas"/>
          <w:sz w:val="20"/>
          <w:szCs w:val="20"/>
        </w:rPr>
        <w:t xml:space="preserve">BatteryPackController.cs</w:t>
      </w:r>
      <w:r>
        <w:t xml:space="preserve"> — owns the SOC, SOH and thermal state; runs the equations from §4 in FixedUpdate.</w:t>
      </w:r>
    </w:p>
    <w:p>
      <w:pPr>
        <w:pStyle w:val="ListParagraph"/>
        <w:numPr>
          <w:ilvl w:val="0"/>
          <w:numId w:val="3"/>
        </w:numPr>
        <w:spacing w:after="80" w:line="280"/>
      </w:pPr>
      <w:r>
        <w:rPr>
          <w:rFonts w:ascii="Consolas" w:cs="Consolas" w:eastAsia="Consolas" w:hAnsi="Consolas"/>
          <w:sz w:val="20"/>
          <w:szCs w:val="20"/>
        </w:rPr>
        <w:t xml:space="preserve">CellGrid.cs</w:t>
      </w:r>
      <w:r>
        <w:t xml:space="preserve"> — holds the 16-cell array, applies SOH colour to each 3D cell and to its heatmap tile.</w:t>
      </w:r>
    </w:p>
    <w:p>
      <w:pPr>
        <w:pStyle w:val="ListParagraph"/>
        <w:numPr>
          <w:ilvl w:val="0"/>
          <w:numId w:val="3"/>
        </w:numPr>
        <w:spacing w:after="80" w:line="280"/>
      </w:pPr>
      <w:r>
        <w:rPr>
          <w:rFonts w:ascii="Consolas" w:cs="Consolas" w:eastAsia="Consolas" w:hAnsi="Consolas"/>
          <w:sz w:val="20"/>
          <w:szCs w:val="20"/>
        </w:rPr>
        <w:t xml:space="preserve">RangeEstimator.cs</w:t>
      </w:r>
      <w:r>
        <w:t xml:space="preserve"> — pure function block, listens to BatteryPackController events and writes Range_healthy / Range_actual to the dashboard.</w:t>
      </w:r>
    </w:p>
    <w:p>
      <w:pPr>
        <w:pStyle w:val="ListParagraph"/>
        <w:numPr>
          <w:ilvl w:val="0"/>
          <w:numId w:val="3"/>
        </w:numPr>
        <w:spacing w:after="80" w:line="280"/>
      </w:pPr>
      <w:r>
        <w:rPr>
          <w:rFonts w:ascii="Consolas" w:cs="Consolas" w:eastAsia="Consolas" w:hAnsi="Consolas"/>
          <w:sz w:val="20"/>
          <w:szCs w:val="20"/>
        </w:rPr>
        <w:t xml:space="preserve">BMSLogic.cs</w:t>
      </w:r>
      <w:r>
        <w:t xml:space="preserve"> — threshold checks for 45 °C cooling activation and 60 °C runaway alarm; raises UI events.</w:t>
      </w:r>
    </w:p>
    <w:p>
      <w:pPr>
        <w:pStyle w:val="ListParagraph"/>
        <w:numPr>
          <w:ilvl w:val="0"/>
          <w:numId w:val="3"/>
        </w:numPr>
        <w:spacing w:after="80" w:line="280"/>
      </w:pPr>
      <w:r>
        <w:rPr>
          <w:rFonts w:ascii="Consolas" w:cs="Consolas" w:eastAsia="Consolas" w:hAnsi="Consolas"/>
          <w:sz w:val="20"/>
          <w:szCs w:val="20"/>
        </w:rPr>
        <w:t xml:space="preserve">DashboardUI.cs</w:t>
      </w:r>
      <w:r>
        <w:t xml:space="preserve"> — Unity UI Toolkit binding; subscribes to the events above.</w:t>
      </w:r>
    </w:p>
    <w:p>
      <w:pPr>
        <w:spacing w:after="120" w:before="80" w:line="280"/>
      </w:pPr>
      <w:r>
        <w:rPr>
          <w:b/>
          <w:bCs/>
          <w:color w:val="800020"/>
        </w:rPr>
        <w:t xml:space="preserve">Note: </w:t>
      </w:r>
      <w:r>
        <w:t xml:space="preserve">All scripts will be authored against an interface so Sprint 4 can swap the lumped thermal model for a per-cell coupled one without breaking the UI.</w:t>
      </w:r>
    </w:p>
    <w:p>
      <w:pPr>
        <w:pStyle w:val="Heading1"/>
        <w:spacing w:after="160" w:before="320"/>
      </w:pPr>
      <w:r>
        <w:rPr>
          <w:b/>
          <w:bCs/>
          <w:color w:val="800020"/>
          <w:sz w:val="32"/>
          <w:szCs w:val="32"/>
        </w:rPr>
        <w:t xml:space="preserve">7. Task Assignment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300"/>
        <w:gridCol w:w="760"/>
      </w:tblGrid>
      <w:tr>
        <w:tc>
          <w:tcPr>
            <w:tcW w:type="dxa" w:w="2200"/>
            <w:shd w:fill="800020" w:val="clear"/>
            <w:tcMar>
              <w:top w:type="dxa" w:w="100"/>
              <w:left w:type="dxa" w:w="120"/>
              <w:bottom w:type="dxa" w:w="100"/>
              <w:right w:type="dxa" w:w="120"/>
            </w:tcMar>
          </w:tcPr>
          <w:p>
            <w:r>
              <w:rPr>
                <w:b/>
                <w:bCs/>
                <w:color w:val="FFFFFF"/>
              </w:rPr>
              <w:t xml:space="preserve">Owner</w:t>
            </w:r>
          </w:p>
        </w:tc>
        <w:tc>
          <w:tcPr>
            <w:tcW w:type="dxa" w:w="1100"/>
            <w:shd w:fill="800020" w:val="clear"/>
            <w:tcMar>
              <w:top w:type="dxa" w:w="100"/>
              <w:left w:type="dxa" w:w="120"/>
              <w:bottom w:type="dxa" w:w="100"/>
              <w:right w:type="dxa" w:w="120"/>
            </w:tcMar>
          </w:tcPr>
          <w:p>
            <w:r>
              <w:rPr>
                <w:b/>
                <w:bCs/>
                <w:color w:val="FFFFFF"/>
              </w:rPr>
              <w:t xml:space="preserve">Discipline</w:t>
            </w:r>
          </w:p>
        </w:tc>
        <w:tc>
          <w:tcPr>
            <w:tcW w:type="dxa" w:w="5300"/>
            <w:shd w:fill="800020" w:val="clear"/>
            <w:tcMar>
              <w:top w:type="dxa" w:w="100"/>
              <w:left w:type="dxa" w:w="120"/>
              <w:bottom w:type="dxa" w:w="100"/>
              <w:right w:type="dxa" w:w="120"/>
            </w:tcMar>
          </w:tcPr>
          <w:p>
            <w:r>
              <w:rPr>
                <w:b/>
                <w:bCs/>
                <w:color w:val="FFFFFF"/>
              </w:rPr>
              <w:t xml:space="preserve">Sprint 2 task</w:t>
            </w:r>
          </w:p>
        </w:tc>
        <w:tc>
          <w:tcPr>
            <w:tcW w:type="dxa" w:w="760"/>
            <w:shd w:fill="800020" w:val="clear"/>
            <w:tcMar>
              <w:top w:type="dxa" w:w="100"/>
              <w:left w:type="dxa" w:w="120"/>
              <w:bottom w:type="dxa" w:w="100"/>
              <w:right w:type="dxa" w:w="120"/>
            </w:tcMar>
          </w:tcPr>
          <w:p>
            <w:r>
              <w:rPr>
                <w:b/>
                <w:bCs/>
                <w:color w:val="FFFFFF"/>
              </w:rPr>
              <w:t xml:space="preserve">Internal due</w:t>
            </w:r>
          </w:p>
        </w:tc>
      </w:tr>
      <w:tr>
        <w:tc>
          <w:tcPr>
            <w:tcW w:type="dxa" w:w="2200"/>
            <w:tcMar>
              <w:top w:type="dxa" w:w="80"/>
              <w:left w:type="dxa" w:w="120"/>
              <w:bottom w:type="dxa" w:w="80"/>
              <w:right w:type="dxa" w:w="120"/>
            </w:tcMar>
          </w:tcPr>
          <w:p>
            <w:r>
              <w:t xml:space="preserve">Rishi Chalamalasetty</w:t>
            </w:r>
          </w:p>
        </w:tc>
        <w:tc>
          <w:tcPr>
            <w:tcW w:type="dxa" w:w="1100"/>
            <w:tcMar>
              <w:top w:type="dxa" w:w="80"/>
              <w:left w:type="dxa" w:w="120"/>
              <w:bottom w:type="dxa" w:w="80"/>
              <w:right w:type="dxa" w:w="120"/>
            </w:tcMar>
          </w:tcPr>
          <w:p>
            <w:r>
              <w:t xml:space="preserve">CEE</w:t>
            </w:r>
          </w:p>
        </w:tc>
        <w:tc>
          <w:tcPr>
            <w:tcW w:type="dxa" w:w="5300"/>
            <w:tcMar>
              <w:top w:type="dxa" w:w="80"/>
              <w:left w:type="dxa" w:w="120"/>
              <w:bottom w:type="dxa" w:w="80"/>
              <w:right w:type="dxa" w:w="120"/>
            </w:tcMar>
          </w:tcPr>
          <w:p>
            <w:r>
              <w:t xml:space="preserve">Section 4.1–4.2 equations finalised; R_int lookup populated; default pack/V_nom values agreed.</w:t>
            </w:r>
          </w:p>
        </w:tc>
        <w:tc>
          <w:tcPr>
            <w:tcW w:type="dxa" w:w="760"/>
            <w:tcMar>
              <w:top w:type="dxa" w:w="80"/>
              <w:left w:type="dxa" w:w="120"/>
              <w:bottom w:type="dxa" w:w="80"/>
              <w:right w:type="dxa" w:w="120"/>
            </w:tcMar>
          </w:tcPr>
          <w:p>
            <w:r>
              <w:t xml:space="preserve">16 May</w:t>
            </w:r>
          </w:p>
        </w:tc>
      </w:tr>
      <w:tr>
        <w:tc>
          <w:tcPr>
            <w:tcW w:type="dxa" w:w="2200"/>
            <w:shd w:fill="FAFAFA" w:val="clear"/>
            <w:tcMar>
              <w:top w:type="dxa" w:w="80"/>
              <w:left w:type="dxa" w:w="120"/>
              <w:bottom w:type="dxa" w:w="80"/>
              <w:right w:type="dxa" w:w="120"/>
            </w:tcMar>
          </w:tcPr>
          <w:p>
            <w:r>
              <w:t xml:space="preserve">Avinash Lobo</w:t>
            </w:r>
          </w:p>
        </w:tc>
        <w:tc>
          <w:tcPr>
            <w:tcW w:type="dxa" w:w="1100"/>
            <w:shd w:fill="FAFAFA" w:val="clear"/>
            <w:tcMar>
              <w:top w:type="dxa" w:w="80"/>
              <w:left w:type="dxa" w:w="120"/>
              <w:bottom w:type="dxa" w:w="80"/>
              <w:right w:type="dxa" w:w="120"/>
            </w:tcMar>
          </w:tcPr>
          <w:p>
            <w:r>
              <w:t xml:space="preserve">CEE</w:t>
            </w:r>
          </w:p>
        </w:tc>
        <w:tc>
          <w:tcPr>
            <w:tcW w:type="dxa" w:w="5300"/>
            <w:shd w:fill="FAFAFA" w:val="clear"/>
            <w:tcMar>
              <w:top w:type="dxa" w:w="80"/>
              <w:left w:type="dxa" w:w="120"/>
              <w:bottom w:type="dxa" w:w="80"/>
              <w:right w:type="dxa" w:w="120"/>
            </w:tcMar>
          </w:tcPr>
          <w:p>
            <w:r>
              <w:t xml:space="preserve">Section 4.3–4.4 SOH math + EV range estimator; produce the worked-example numbers for the result card.</w:t>
            </w:r>
          </w:p>
        </w:tc>
        <w:tc>
          <w:tcPr>
            <w:tcW w:type="dxa" w:w="760"/>
            <w:shd w:fill="FAFAFA" w:val="clear"/>
            <w:tcMar>
              <w:top w:type="dxa" w:w="80"/>
              <w:left w:type="dxa" w:w="120"/>
              <w:bottom w:type="dxa" w:w="80"/>
              <w:right w:type="dxa" w:w="120"/>
            </w:tcMar>
          </w:tcPr>
          <w:p>
            <w:r>
              <w:t xml:space="preserve">16 May</w:t>
            </w:r>
          </w:p>
        </w:tc>
      </w:tr>
      <w:tr>
        <w:tc>
          <w:tcPr>
            <w:tcW w:type="dxa" w:w="2200"/>
            <w:tcMar>
              <w:top w:type="dxa" w:w="80"/>
              <w:left w:type="dxa" w:w="120"/>
              <w:bottom w:type="dxa" w:w="80"/>
              <w:right w:type="dxa" w:w="120"/>
            </w:tcMar>
          </w:tcPr>
          <w:p>
            <w:r>
              <w:t xml:space="preserve">Jashkumar Dhameliya</w:t>
            </w:r>
          </w:p>
        </w:tc>
        <w:tc>
          <w:tcPr>
            <w:tcW w:type="dxa" w:w="1100"/>
            <w:tcMar>
              <w:top w:type="dxa" w:w="80"/>
              <w:left w:type="dxa" w:w="120"/>
              <w:bottom w:type="dxa" w:w="80"/>
              <w:right w:type="dxa" w:w="120"/>
            </w:tcMar>
          </w:tcPr>
          <w:p>
            <w:r>
              <w:t xml:space="preserve">DE</w:t>
            </w:r>
          </w:p>
        </w:tc>
        <w:tc>
          <w:tcPr>
            <w:tcW w:type="dxa" w:w="5300"/>
            <w:tcMar>
              <w:top w:type="dxa" w:w="80"/>
              <w:left w:type="dxa" w:w="120"/>
              <w:bottom w:type="dxa" w:w="80"/>
              <w:right w:type="dxa" w:w="120"/>
            </w:tcMar>
          </w:tcPr>
          <w:p>
            <w:r>
              <w:t xml:space="preserve">Blender script (build_pack.py): pack shell + 4×4 cell grid + fan; .fbx export verified inside Unity.</w:t>
            </w:r>
          </w:p>
        </w:tc>
        <w:tc>
          <w:tcPr>
            <w:tcW w:type="dxa" w:w="760"/>
            <w:tcMar>
              <w:top w:type="dxa" w:w="80"/>
              <w:left w:type="dxa" w:w="120"/>
              <w:bottom w:type="dxa" w:w="80"/>
              <w:right w:type="dxa" w:w="120"/>
            </w:tcMar>
          </w:tcPr>
          <w:p>
            <w:r>
              <w:t xml:space="preserve">18 May</w:t>
            </w:r>
          </w:p>
        </w:tc>
      </w:tr>
      <w:tr>
        <w:tc>
          <w:tcPr>
            <w:tcW w:type="dxa" w:w="2200"/>
            <w:shd w:fill="FAFAFA" w:val="clear"/>
            <w:tcMar>
              <w:top w:type="dxa" w:w="80"/>
              <w:left w:type="dxa" w:w="120"/>
              <w:bottom w:type="dxa" w:w="80"/>
              <w:right w:type="dxa" w:w="120"/>
            </w:tcMar>
          </w:tcPr>
          <w:p>
            <w:r>
              <w:t xml:space="preserve">Shashi Kumar</w:t>
            </w:r>
          </w:p>
        </w:tc>
        <w:tc>
          <w:tcPr>
            <w:tcW w:type="dxa" w:w="1100"/>
            <w:shd w:fill="FAFAFA" w:val="clear"/>
            <w:tcMar>
              <w:top w:type="dxa" w:w="80"/>
              <w:left w:type="dxa" w:w="120"/>
              <w:bottom w:type="dxa" w:w="80"/>
              <w:right w:type="dxa" w:w="120"/>
            </w:tcMar>
          </w:tcPr>
          <w:p>
            <w:r>
              <w:t xml:space="preserve">DE</w:t>
            </w:r>
          </w:p>
        </w:tc>
        <w:tc>
          <w:tcPr>
            <w:tcW w:type="dxa" w:w="5300"/>
            <w:shd w:fill="FAFAFA" w:val="clear"/>
            <w:tcMar>
              <w:top w:type="dxa" w:w="80"/>
              <w:left w:type="dxa" w:w="120"/>
              <w:bottom w:type="dxa" w:w="80"/>
              <w:right w:type="dxa" w:w="120"/>
            </w:tcMar>
          </w:tcPr>
          <w:p>
            <w:r>
              <w:t xml:space="preserve">Unity scaffold: scene, BatteryPackController, BMSLogic, FixedUpdate loop wired to §4 equations.</w:t>
            </w:r>
          </w:p>
        </w:tc>
        <w:tc>
          <w:tcPr>
            <w:tcW w:type="dxa" w:w="760"/>
            <w:shd w:fill="FAFAFA" w:val="clear"/>
            <w:tcMar>
              <w:top w:type="dxa" w:w="80"/>
              <w:left w:type="dxa" w:w="120"/>
              <w:bottom w:type="dxa" w:w="80"/>
              <w:right w:type="dxa" w:w="120"/>
            </w:tcMar>
          </w:tcPr>
          <w:p>
            <w:r>
              <w:t xml:space="preserve">20 May</w:t>
            </w:r>
          </w:p>
        </w:tc>
      </w:tr>
      <w:tr>
        <w:tc>
          <w:tcPr>
            <w:tcW w:type="dxa" w:w="2200"/>
            <w:tcMar>
              <w:top w:type="dxa" w:w="80"/>
              <w:left w:type="dxa" w:w="120"/>
              <w:bottom w:type="dxa" w:w="80"/>
              <w:right w:type="dxa" w:w="120"/>
            </w:tcMar>
          </w:tcPr>
          <w:p>
            <w:r>
              <w:t xml:space="preserve">Anant Sharma</w:t>
            </w:r>
          </w:p>
        </w:tc>
        <w:tc>
          <w:tcPr>
            <w:tcW w:type="dxa" w:w="1100"/>
            <w:tcMar>
              <w:top w:type="dxa" w:w="80"/>
              <w:left w:type="dxa" w:w="120"/>
              <w:bottom w:type="dxa" w:w="80"/>
              <w:right w:type="dxa" w:w="120"/>
            </w:tcMar>
          </w:tcPr>
          <w:p>
            <w:r>
              <w:t xml:space="preserve">DKE</w:t>
            </w:r>
          </w:p>
        </w:tc>
        <w:tc>
          <w:tcPr>
            <w:tcW w:type="dxa" w:w="5300"/>
            <w:tcMar>
              <w:top w:type="dxa" w:w="80"/>
              <w:left w:type="dxa" w:w="120"/>
              <w:bottom w:type="dxa" w:w="80"/>
              <w:right w:type="dxa" w:w="120"/>
            </w:tcMar>
          </w:tcPr>
          <w:p>
            <w:r>
              <w:t xml:space="preserve">CellGrid + RangeEstimator scripts; SOH heatmap UI widget; parameter-to-UI mapping table validated in-engine.</w:t>
            </w:r>
          </w:p>
        </w:tc>
        <w:tc>
          <w:tcPr>
            <w:tcW w:type="dxa" w:w="760"/>
            <w:tcMar>
              <w:top w:type="dxa" w:w="80"/>
              <w:left w:type="dxa" w:w="120"/>
              <w:bottom w:type="dxa" w:w="80"/>
              <w:right w:type="dxa" w:w="120"/>
            </w:tcMar>
          </w:tcPr>
          <w:p>
            <w:r>
              <w:t xml:space="preserve">20 May</w:t>
            </w:r>
          </w:p>
        </w:tc>
      </w:tr>
      <w:tr>
        <w:tc>
          <w:tcPr>
            <w:tcW w:type="dxa" w:w="2200"/>
            <w:shd w:fill="FAFAFA" w:val="clear"/>
            <w:tcMar>
              <w:top w:type="dxa" w:w="80"/>
              <w:left w:type="dxa" w:w="120"/>
              <w:bottom w:type="dxa" w:w="80"/>
              <w:right w:type="dxa" w:w="120"/>
            </w:tcMar>
          </w:tcPr>
          <w:p>
            <w:r>
              <w:t xml:space="preserve">Hari Charan</w:t>
            </w:r>
          </w:p>
        </w:tc>
        <w:tc>
          <w:tcPr>
            <w:tcW w:type="dxa" w:w="1100"/>
            <w:shd w:fill="FAFAFA" w:val="clear"/>
            <w:tcMar>
              <w:top w:type="dxa" w:w="80"/>
              <w:left w:type="dxa" w:w="120"/>
              <w:bottom w:type="dxa" w:w="80"/>
              <w:right w:type="dxa" w:w="120"/>
            </w:tcMar>
          </w:tcPr>
          <w:p>
            <w:r>
              <w:t xml:space="preserve">DE</w:t>
            </w:r>
          </w:p>
        </w:tc>
        <w:tc>
          <w:tcPr>
            <w:tcW w:type="dxa" w:w="5300"/>
            <w:shd w:fill="FAFAFA" w:val="clear"/>
            <w:tcMar>
              <w:top w:type="dxa" w:w="80"/>
              <w:left w:type="dxa" w:w="120"/>
              <w:bottom w:type="dxa" w:w="80"/>
              <w:right w:type="dxa" w:w="120"/>
            </w:tcMar>
          </w:tcPr>
          <w:p>
            <w:r>
              <w:t xml:space="preserve">DashboardUI: dual SOC gauge, range readout, warning banners; integration test with sample SOH array.</w:t>
            </w:r>
          </w:p>
        </w:tc>
        <w:tc>
          <w:tcPr>
            <w:tcW w:type="dxa" w:w="760"/>
            <w:shd w:fill="FAFAFA" w:val="clear"/>
            <w:tcMar>
              <w:top w:type="dxa" w:w="80"/>
              <w:left w:type="dxa" w:w="120"/>
              <w:bottom w:type="dxa" w:w="80"/>
              <w:right w:type="dxa" w:w="120"/>
            </w:tcMar>
          </w:tcPr>
          <w:p>
            <w:r>
              <w:t xml:space="preserve">21 May</w:t>
            </w:r>
          </w:p>
        </w:tc>
      </w:tr>
    </w:tbl>
    <w:p>
      <w:pPr>
        <w:spacing w:after="120" w:before="80" w:line="280"/>
      </w:pPr>
      <w:r>
        <w:rPr>
          <w:b/>
          <w:bCs/>
          <w:color w:val="800020"/>
        </w:rPr>
        <w:t xml:space="preserve">Note: </w:t>
      </w:r>
      <w:r>
        <w:t xml:space="preserve">Internal due dates leave 22 May for joint dry-run and slide preparation.</w:t>
      </w:r>
    </w:p>
    <w:p>
      <w:pPr>
        <w:pStyle w:val="Heading1"/>
        <w:spacing w:after="160" w:before="320"/>
      </w:pPr>
      <w:r>
        <w:rPr>
          <w:b/>
          <w:bCs/>
          <w:color w:val="800020"/>
          <w:sz w:val="32"/>
          <w:szCs w:val="32"/>
        </w:rPr>
        <w:t xml:space="preserve">8. Risks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3760"/>
      </w:tblGrid>
      <w:tr>
        <w:tc>
          <w:tcPr>
            <w:tcW w:type="dxa" w:w="3000"/>
            <w:shd w:fill="800020" w:val="clear"/>
            <w:tcMar>
              <w:top w:type="dxa" w:w="100"/>
              <w:left w:type="dxa" w:w="120"/>
              <w:bottom w:type="dxa" w:w="100"/>
              <w:right w:type="dxa" w:w="120"/>
            </w:tcMar>
          </w:tcPr>
          <w:p>
            <w:r>
              <w:rPr>
                <w:b/>
                <w:bCs/>
                <w:color w:val="FFFFFF"/>
              </w:rPr>
              <w:t xml:space="preserve">Risk</w:t>
            </w:r>
          </w:p>
        </w:tc>
        <w:tc>
          <w:tcPr>
            <w:tcW w:type="dxa" w:w="1300"/>
            <w:shd w:fill="800020" w:val="clear"/>
            <w:tcMar>
              <w:top w:type="dxa" w:w="100"/>
              <w:left w:type="dxa" w:w="120"/>
              <w:bottom w:type="dxa" w:w="100"/>
              <w:right w:type="dxa" w:w="120"/>
            </w:tcMar>
          </w:tcPr>
          <w:p>
            <w:r>
              <w:rPr>
                <w:b/>
                <w:bCs/>
                <w:color w:val="FFFFFF"/>
              </w:rPr>
              <w:t xml:space="preserve">Likelihood</w:t>
            </w:r>
          </w:p>
        </w:tc>
        <w:tc>
          <w:tcPr>
            <w:tcW w:type="dxa" w:w="1300"/>
            <w:shd w:fill="800020" w:val="clear"/>
            <w:tcMar>
              <w:top w:type="dxa" w:w="100"/>
              <w:left w:type="dxa" w:w="120"/>
              <w:bottom w:type="dxa" w:w="100"/>
              <w:right w:type="dxa" w:w="120"/>
            </w:tcMar>
          </w:tcPr>
          <w:p>
            <w:r>
              <w:rPr>
                <w:b/>
                <w:bCs/>
                <w:color w:val="FFFFFF"/>
              </w:rPr>
              <w:t xml:space="preserve">Impact</w:t>
            </w:r>
          </w:p>
        </w:tc>
        <w:tc>
          <w:tcPr>
            <w:tcW w:type="dxa" w:w="3760"/>
            <w:shd w:fill="800020" w:val="clear"/>
            <w:tcMar>
              <w:top w:type="dxa" w:w="100"/>
              <w:left w:type="dxa" w:w="120"/>
              <w:bottom w:type="dxa" w:w="100"/>
              <w:right w:type="dxa" w:w="120"/>
            </w:tcMar>
          </w:tcPr>
          <w:p>
            <w:r>
              <w:rPr>
                <w:b/>
                <w:bCs/>
                <w:color w:val="FFFFFF"/>
              </w:rPr>
              <w:t xml:space="preserve">Mitigation</w:t>
            </w:r>
          </w:p>
        </w:tc>
      </w:tr>
      <w:tr>
        <w:tc>
          <w:tcPr>
            <w:tcW w:type="dxa" w:w="3000"/>
            <w:tcMar>
              <w:top w:type="dxa" w:w="80"/>
              <w:left w:type="dxa" w:w="120"/>
              <w:bottom w:type="dxa" w:w="80"/>
              <w:right w:type="dxa" w:w="120"/>
            </w:tcMar>
          </w:tcPr>
          <w:p>
            <w:r>
              <w:t xml:space="preserve">Blender .fbx import breaks naming/scale in Unity</w:t>
            </w:r>
          </w:p>
        </w:tc>
        <w:tc>
          <w:tcPr>
            <w:tcW w:type="dxa" w:w="1300"/>
            <w:tcMar>
              <w:top w:type="dxa" w:w="80"/>
              <w:left w:type="dxa" w:w="120"/>
              <w:bottom w:type="dxa" w:w="80"/>
              <w:right w:type="dxa" w:w="120"/>
            </w:tcMar>
          </w:tcPr>
          <w:p>
            <w:r>
              <w:t xml:space="preserve">Medium</w:t>
            </w:r>
          </w:p>
        </w:tc>
        <w:tc>
          <w:tcPr>
            <w:tcW w:type="dxa" w:w="1300"/>
            <w:tcMar>
              <w:top w:type="dxa" w:w="80"/>
              <w:left w:type="dxa" w:w="120"/>
              <w:bottom w:type="dxa" w:w="80"/>
              <w:right w:type="dxa" w:w="120"/>
            </w:tcMar>
          </w:tcPr>
          <w:p>
            <w:r>
              <w:t xml:space="preserve">High — blocks all visualisation work</w:t>
            </w:r>
          </w:p>
        </w:tc>
        <w:tc>
          <w:tcPr>
            <w:tcW w:type="dxa" w:w="3760"/>
            <w:tcMar>
              <w:top w:type="dxa" w:w="80"/>
              <w:left w:type="dxa" w:w="120"/>
              <w:bottom w:type="dxa" w:w="80"/>
              <w:right w:type="dxa" w:w="120"/>
            </w:tcMar>
          </w:tcPr>
          <w:p>
            <w:r>
              <w:t xml:space="preserve">Scripted export with applied transforms; smoke-test import on day one.</w:t>
            </w:r>
          </w:p>
        </w:tc>
      </w:tr>
      <w:tr>
        <w:tc>
          <w:tcPr>
            <w:tcW w:type="dxa" w:w="3000"/>
            <w:shd w:fill="FAFAFA" w:val="clear"/>
            <w:tcMar>
              <w:top w:type="dxa" w:w="80"/>
              <w:left w:type="dxa" w:w="120"/>
              <w:bottom w:type="dxa" w:w="80"/>
              <w:right w:type="dxa" w:w="120"/>
            </w:tcMar>
          </w:tcPr>
          <w:p>
            <w:r>
              <w:t xml:space="preserve">R_int lookup data unavailable in time</w:t>
            </w:r>
          </w:p>
        </w:tc>
        <w:tc>
          <w:tcPr>
            <w:tcW w:type="dxa" w:w="1300"/>
            <w:shd w:fill="FAFAFA" w:val="clear"/>
            <w:tcMar>
              <w:top w:type="dxa" w:w="80"/>
              <w:left w:type="dxa" w:w="120"/>
              <w:bottom w:type="dxa" w:w="80"/>
              <w:right w:type="dxa" w:w="120"/>
            </w:tcMar>
          </w:tcPr>
          <w:p>
            <w:r>
              <w:t xml:space="preserve">Medium</w:t>
            </w:r>
          </w:p>
        </w:tc>
        <w:tc>
          <w:tcPr>
            <w:tcW w:type="dxa" w:w="1300"/>
            <w:shd w:fill="FAFAFA" w:val="clear"/>
            <w:tcMar>
              <w:top w:type="dxa" w:w="80"/>
              <w:left w:type="dxa" w:w="120"/>
              <w:bottom w:type="dxa" w:w="80"/>
              <w:right w:type="dxa" w:w="120"/>
            </w:tcMar>
          </w:tcPr>
          <w:p>
            <w:r>
              <w:t xml:space="preserve">Medium — thermal curve will be unrealistic</w:t>
            </w:r>
          </w:p>
        </w:tc>
        <w:tc>
          <w:tcPr>
            <w:tcW w:type="dxa" w:w="3760"/>
            <w:shd w:fill="FAFAFA" w:val="clear"/>
            <w:tcMar>
              <w:top w:type="dxa" w:w="80"/>
              <w:left w:type="dxa" w:w="120"/>
              <w:bottom w:type="dxa" w:w="80"/>
              <w:right w:type="dxa" w:w="120"/>
            </w:tcMar>
          </w:tcPr>
          <w:p>
            <w:r>
              <w:t xml:space="preserve">Use a constant 30 mΩ default; flag values as 'placeholder' in the UI.</w:t>
            </w:r>
          </w:p>
        </w:tc>
      </w:tr>
      <w:tr>
        <w:tc>
          <w:tcPr>
            <w:tcW w:type="dxa" w:w="3000"/>
            <w:tcMar>
              <w:top w:type="dxa" w:w="80"/>
              <w:left w:type="dxa" w:w="120"/>
              <w:bottom w:type="dxa" w:w="80"/>
              <w:right w:type="dxa" w:w="120"/>
            </w:tcMar>
          </w:tcPr>
          <w:p>
            <w:r>
              <w:t xml:space="preserve">SOH demo numbers feel arbitrary to the professor</w:t>
            </w:r>
          </w:p>
        </w:tc>
        <w:tc>
          <w:tcPr>
            <w:tcW w:type="dxa" w:w="1300"/>
            <w:tcMar>
              <w:top w:type="dxa" w:w="80"/>
              <w:left w:type="dxa" w:w="120"/>
              <w:bottom w:type="dxa" w:w="80"/>
              <w:right w:type="dxa" w:w="120"/>
            </w:tcMar>
          </w:tcPr>
          <w:p>
            <w:r>
              <w:t xml:space="preserve">Low</w:t>
            </w:r>
          </w:p>
        </w:tc>
        <w:tc>
          <w:tcPr>
            <w:tcW w:type="dxa" w:w="1300"/>
            <w:tcMar>
              <w:top w:type="dxa" w:w="80"/>
              <w:left w:type="dxa" w:w="120"/>
              <w:bottom w:type="dxa" w:w="80"/>
              <w:right w:type="dxa" w:w="120"/>
            </w:tcMar>
          </w:tcPr>
          <w:p>
            <w:r>
              <w:t xml:space="preserve">Medium — undermines the new feature</w:t>
            </w:r>
          </w:p>
        </w:tc>
        <w:tc>
          <w:tcPr>
            <w:tcW w:type="dxa" w:w="3760"/>
            <w:tcMar>
              <w:top w:type="dxa" w:w="80"/>
              <w:left w:type="dxa" w:w="120"/>
              <w:bottom w:type="dxa" w:w="80"/>
              <w:right w:type="dxa" w:w="120"/>
            </w:tcMar>
          </w:tcPr>
          <w:p>
            <w:r>
              <w:t xml:space="preserve">Anchor the example to a real cited EV (consumption, pack voltage) and show source in result card.</w:t>
            </w:r>
          </w:p>
        </w:tc>
      </w:tr>
      <w:tr>
        <w:tc>
          <w:tcPr>
            <w:tcW w:type="dxa" w:w="3000"/>
            <w:shd w:fill="FAFAFA" w:val="clear"/>
            <w:tcMar>
              <w:top w:type="dxa" w:w="80"/>
              <w:left w:type="dxa" w:w="120"/>
              <w:bottom w:type="dxa" w:w="80"/>
              <w:right w:type="dxa" w:w="120"/>
            </w:tcMar>
          </w:tcPr>
          <w:p>
            <w:r>
              <w:t xml:space="preserve">Unity URP shader compile errors across machines</w:t>
            </w:r>
          </w:p>
        </w:tc>
        <w:tc>
          <w:tcPr>
            <w:tcW w:type="dxa" w:w="1300"/>
            <w:shd w:fill="FAFAFA" w:val="clear"/>
            <w:tcMar>
              <w:top w:type="dxa" w:w="80"/>
              <w:left w:type="dxa" w:w="120"/>
              <w:bottom w:type="dxa" w:w="80"/>
              <w:right w:type="dxa" w:w="120"/>
            </w:tcMar>
          </w:tcPr>
          <w:p>
            <w:r>
              <w:t xml:space="preserve">Medium</w:t>
            </w:r>
          </w:p>
        </w:tc>
        <w:tc>
          <w:tcPr>
            <w:tcW w:type="dxa" w:w="1300"/>
            <w:shd w:fill="FAFAFA" w:val="clear"/>
            <w:tcMar>
              <w:top w:type="dxa" w:w="80"/>
              <w:left w:type="dxa" w:w="120"/>
              <w:bottom w:type="dxa" w:w="80"/>
              <w:right w:type="dxa" w:w="120"/>
            </w:tcMar>
          </w:tcPr>
          <w:p>
            <w:r>
              <w:t xml:space="preserve">Medium — slows iteration</w:t>
            </w:r>
          </w:p>
        </w:tc>
        <w:tc>
          <w:tcPr>
            <w:tcW w:type="dxa" w:w="3760"/>
            <w:shd w:fill="FAFAFA" w:val="clear"/>
            <w:tcMar>
              <w:top w:type="dxa" w:w="80"/>
              <w:left w:type="dxa" w:w="120"/>
              <w:bottom w:type="dxa" w:w="80"/>
              <w:right w:type="dxa" w:w="120"/>
            </w:tcMar>
          </w:tcPr>
          <w:p>
            <w:r>
              <w:t xml:space="preserve">Commit Library/PackageCache exclusions; pin URP version in manifest.json.</w:t>
            </w:r>
          </w:p>
        </w:tc>
      </w:tr>
      <w:tr>
        <w:tc>
          <w:tcPr>
            <w:tcW w:type="dxa" w:w="3000"/>
            <w:tcMar>
              <w:top w:type="dxa" w:w="80"/>
              <w:left w:type="dxa" w:w="120"/>
              <w:bottom w:type="dxa" w:w="80"/>
              <w:right w:type="dxa" w:w="120"/>
            </w:tcMar>
          </w:tcPr>
          <w:p>
            <w:r>
              <w:t xml:space="preserve">Team-member calendar conflict before 22 May</w:t>
            </w:r>
          </w:p>
        </w:tc>
        <w:tc>
          <w:tcPr>
            <w:tcW w:type="dxa" w:w="1300"/>
            <w:tcMar>
              <w:top w:type="dxa" w:w="80"/>
              <w:left w:type="dxa" w:w="120"/>
              <w:bottom w:type="dxa" w:w="80"/>
              <w:right w:type="dxa" w:w="120"/>
            </w:tcMar>
          </w:tcPr>
          <w:p>
            <w:r>
              <w:t xml:space="preserve">Low</w:t>
            </w:r>
          </w:p>
        </w:tc>
        <w:tc>
          <w:tcPr>
            <w:tcW w:type="dxa" w:w="1300"/>
            <w:tcMar>
              <w:top w:type="dxa" w:w="80"/>
              <w:left w:type="dxa" w:w="120"/>
              <w:bottom w:type="dxa" w:w="80"/>
              <w:right w:type="dxa" w:w="120"/>
            </w:tcMar>
          </w:tcPr>
          <w:p>
            <w:r>
              <w:t xml:space="preserve">Low — small slippage</w:t>
            </w:r>
          </w:p>
        </w:tc>
        <w:tc>
          <w:tcPr>
            <w:tcW w:type="dxa" w:w="3760"/>
            <w:tcMar>
              <w:top w:type="dxa" w:w="80"/>
              <w:left w:type="dxa" w:w="120"/>
              <w:bottom w:type="dxa" w:w="80"/>
              <w:right w:type="dxa" w:w="120"/>
            </w:tcMar>
          </w:tcPr>
          <w:p>
            <w:r>
              <w:t xml:space="preserve">Internal dues 1–2 days before sprint deadline build slack into the schedule.</w:t>
            </w:r>
          </w:p>
        </w:tc>
      </w:tr>
    </w:tbl>
    <w:p>
      <w:pPr>
        <w:pStyle w:val="Heading1"/>
        <w:spacing w:after="160" w:before="320"/>
      </w:pPr>
      <w:r>
        <w:rPr>
          <w:b/>
          <w:bCs/>
          <w:color w:val="800020"/>
          <w:sz w:val="32"/>
          <w:szCs w:val="32"/>
        </w:rPr>
        <w:t xml:space="preserve">9. Looking Ahead — What Rolls into Sprint 4</w:t>
      </w:r>
    </w:p>
    <w:p>
      <w:pPr>
        <w:spacing w:after="120" w:line="300"/>
      </w:pPr>
      <w:r>
        <w:t xml:space="preserve">Sprint 4 (deadline 19 June 2026) will take the Sprint 2 scaffold to a validated, animated demo:</w:t>
      </w:r>
    </w:p>
    <w:p>
      <w:pPr>
        <w:pStyle w:val="ListParagraph"/>
        <w:numPr>
          <w:ilvl w:val="0"/>
          <w:numId w:val="3"/>
        </w:numPr>
        <w:spacing w:after="80" w:line="280"/>
      </w:pPr>
      <w:r>
        <w:rPr>
          <w:b w:val="false"/>
          <w:bCs w:val="false"/>
        </w:rPr>
        <w:t xml:space="preserve">Replace lumped thermal model with per-cell coupled electro-thermal, so the SOH heatmap and the temperature shading drive each other.</w:t>
      </w:r>
    </w:p>
    <w:p>
      <w:pPr>
        <w:pStyle w:val="ListParagraph"/>
        <w:numPr>
          <w:ilvl w:val="0"/>
          <w:numId w:val="3"/>
        </w:numPr>
        <w:spacing w:after="80" w:line="280"/>
      </w:pPr>
      <w:r>
        <w:rPr>
          <w:b w:val="false"/>
          <w:bCs w:val="false"/>
        </w:rPr>
        <w:t xml:space="preserve">Ion-flow particle system on the cell cross-section, speed mapped to I (as in the Sprint 1 mockup).</w:t>
      </w:r>
    </w:p>
    <w:p>
      <w:pPr>
        <w:pStyle w:val="ListParagraph"/>
        <w:numPr>
          <w:ilvl w:val="0"/>
          <w:numId w:val="3"/>
        </w:numPr>
        <w:spacing w:after="80" w:line="280"/>
      </w:pPr>
      <w:r>
        <w:rPr>
          <w:b w:val="false"/>
          <w:bCs w:val="false"/>
        </w:rPr>
        <w:t xml:space="preserve">Result card UI with the protected vs unprotected scenario comparison.</w:t>
      </w:r>
    </w:p>
    <w:p>
      <w:pPr>
        <w:pStyle w:val="ListParagraph"/>
        <w:numPr>
          <w:ilvl w:val="0"/>
          <w:numId w:val="3"/>
        </w:numPr>
        <w:spacing w:after="80" w:line="280"/>
      </w:pPr>
      <w:r>
        <w:rPr>
          <w:b w:val="false"/>
          <w:bCs w:val="false"/>
        </w:rPr>
        <w:t xml:space="preserve">PBR materials on Blender assets; cooling fan rotor animation tied to the 45 °C threshold.</w:t>
      </w:r>
    </w:p>
    <w:p>
      <w:pPr>
        <w:pStyle w:val="ListParagraph"/>
        <w:numPr>
          <w:ilvl w:val="0"/>
          <w:numId w:val="3"/>
        </w:numPr>
        <w:spacing w:after="80" w:line="280"/>
      </w:pPr>
      <w:r>
        <w:rPr>
          <w:b w:val="false"/>
          <w:bCs w:val="false"/>
        </w:rPr>
        <w:t xml:space="preserve">Final 3D model import (frozen).</w:t>
      </w:r>
    </w:p>
    <w:p>
      <w:pPr>
        <w:spacing w:after="120" w:line="300"/>
      </w:pPr>
      <w:r>
        <w:rPr>
          <w:b/>
          <w:bCs/>
        </w:rPr>
        <w:t xml:space="preserve">Definition of done for Sprint 2: </w:t>
      </w:r>
      <w:r>
        <w:t xml:space="preserve">a runnable Unity scene where moving the current slider changes SOC, T_pack, and the EV range readout, and where editing the SOH array produces a visible difference between displayed and actual range. The professor's feedback is then visibly addressed by the headline number on screen.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6B6B6B"/>
        <w:sz w:val="18"/>
        <w:szCs w:val="18"/>
      </w:rPr>
      <w:t xml:space="preserve">Otto-von-Guericke-University Magdeburg · DE Summer 2026</w:t>
    </w:r>
    <w:r>
      <w:rPr>
        <w:color w:val="6B6B6B"/>
        <w:sz w:val="18"/>
        <w:szCs w:val="18"/>
      </w:rPr>
      <w:t xml:space="preserve">	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SafeCharge · Sprint 2 Plan · Group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80002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8000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SafeCharge Sprint 2 Plan</dc:title>
  <dc:creator>Group 6 — SafeCharge</dc:creator>
  <dc:description>Sprint 2 planning document including SOH/EV-range integration following professor feedback.</dc:description>
  <cp:lastModifiedBy>Un-named</cp:lastModifiedBy>
  <cp:revision>1</cp:revision>
  <dcterms:created xsi:type="dcterms:W3CDTF">2026-05-14T09:15:39.035Z</dcterms:created>
  <dcterms:modified xsi:type="dcterms:W3CDTF">2026-05-14T09:15:39.036Z</dcterms:modified>
</cp:coreProperties>
</file>

<file path=docProps/custom.xml><?xml version="1.0" encoding="utf-8"?>
<Properties xmlns="http://schemas.openxmlformats.org/officeDocument/2006/custom-properties" xmlns:vt="http://schemas.openxmlformats.org/officeDocument/2006/docPropsVTypes"/>
</file>