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TOÀN DIỆN: MA TRẬN MÙA VỤ NÔNG SẢN 2026</w:t>
      </w:r>
    </w:p>
    <w:p>
      <w:pPr>
        <w:jc w:val="center"/>
      </w:pPr>
      <w:r>
        <w:t>(NGÔ &amp; LÚA MÌ - BẢN CẬP NHẬT CHUYÊN SÂU)</w:t>
      </w:r>
    </w:p>
    <w:p>
      <w:r>
        <w:t>Báo cáo này là bản tổng hợp ở cấp độ chuyên gia (Merchandiser), kết hợp khối lượng Big Data mới nhất từ USDA (Acreage 30/06), dự báo El Niño, và sự phân hóa tiến độ thu hoạch chéo giữa các cường quốc nông nghiệp toàn cầu. Trọng tâm tuyệt đối: Tích hợp sự ảnh hưởng của Lúa Mì Nga vào bức tranh của Mỹ.</w:t>
      </w:r>
    </w:p>
    <w:p>
      <w:pPr>
        <w:pStyle w:val="Heading1"/>
      </w:pPr>
      <w:r>
        <w:rPr>
          <w:color w:val="003366"/>
        </w:rPr>
        <w:t>PHẦN 1: BỐI CẢNH VĨ MÔ &amp; THỜI TIẾT (EL NIÑO ĐẠT 82%)</w:t>
      </w:r>
    </w:p>
    <w:p>
      <w:r>
        <w:t>Siêu chu kỳ El Niño đang định hình lại cấu trúc nguồn cung toàn cầu:</w:t>
      </w:r>
    </w:p>
    <w:p>
      <w:pPr>
        <w:pStyle w:val="ListBullet"/>
      </w:pPr>
      <w:r>
        <w:rPr>
          <w:b/>
        </w:rPr>
        <w:t xml:space="preserve">Thảm họa Nam Bán Cầu (Nửa cuối 2026): </w:t>
      </w:r>
      <w:r>
        <w:t>Hạn hán khốc liệt sẽ càn quét Úc (dự kiến -41% sản lượng lúa mì) và Argentina (-25%). Đây là động lực vĩ mô chính đẩy giá bùng nổ vào Quý 4.</w:t>
      </w:r>
    </w:p>
    <w:p>
      <w:pPr>
        <w:pStyle w:val="ListBullet"/>
      </w:pPr>
      <w:r>
        <w:rPr>
          <w:b/>
        </w:rPr>
        <w:t xml:space="preserve">Thiên tai Bắc Bán Cầu (Hiện tại): </w:t>
      </w:r>
      <w:r>
        <w:t>Lũ lụt dị biệt tại Midwest đe dọa úng ngập Ngô. Đồng thời, Nắng nóng cực đoan (Heatwave &gt;100°F) đang thiêu đốt vùng Lúa xuân Mỹ ngay trong giai đoạn trổ bông nhạy cảm.</w:t>
      </w:r>
    </w:p>
    <w:p>
      <w:pPr>
        <w:pStyle w:val="ListBullet"/>
      </w:pPr>
      <w:r>
        <w:rPr>
          <w:b/>
        </w:rPr>
        <w:t xml:space="preserve">Hiệu ứng Giảm xóc (Mùa Thu Mỹ): </w:t>
      </w:r>
      <w:r>
        <w:t>Dự báo Mỹ sẽ đón những cơn mưa vàng vào giai đoạn T9-T11, rất tốt cho việc gieo hạt Lúa đông 2027. Yếu tố này đóng vai trò như một 'Nắp đập tâm lý' (Cap), giúp đà tăng giá Quý 4 không bị ngáo giá mất kiểm soát.</w:t>
      </w:r>
    </w:p>
    <w:p>
      <w:pPr>
        <w:pStyle w:val="Heading1"/>
      </w:pPr>
      <w:r>
        <w:rPr>
          <w:color w:val="003366"/>
        </w:rPr>
        <w:t>PHẦN 2: PHÂN TÍCH MA TRẬN NGÔ (CORN - ZC)</w:t>
      </w:r>
    </w:p>
    <w:p>
      <w:r>
        <w:t>Ngô đang nằm trong vùng kẹp biên (Giằng co dữ dội) giữa 2 thái cực:</w:t>
      </w:r>
    </w:p>
    <w:p>
      <w:pPr>
        <w:pStyle w:val="ListBullet"/>
      </w:pPr>
      <w:r>
        <w:rPr>
          <w:b/>
        </w:rPr>
        <w:t xml:space="preserve">Yếu tố Bearish (Đè giá): </w:t>
      </w:r>
      <w:r>
        <w:t>Tồn kho vụ cũ cao bất ngờ (+14% YoY). Argentina xả hàng rầm rộ (gặt 66%).</w:t>
      </w:r>
    </w:p>
    <w:p>
      <w:pPr>
        <w:pStyle w:val="ListBullet"/>
      </w:pPr>
      <w:r>
        <w:rPr>
          <w:b/>
        </w:rPr>
        <w:t xml:space="preserve">Yếu tố Bullish (Nâng đỡ): </w:t>
      </w:r>
      <w:r>
        <w:t>Diện tích gieo trồng 2026 giảm 3%. Mưa lũ Midwest đe dọa năng suất thực tế.</w:t>
      </w:r>
    </w:p>
    <w:p>
      <w:r>
        <w:rPr>
          <w:b/>
        </w:rPr>
        <w:t xml:space="preserve">   =&gt; Vùng giá Gom (DCA - Hợp đồng ZCZ6): </w:t>
      </w:r>
      <w:r>
        <w:t>436.00 - 445.00 cents.</w:t>
        <w:br/>
      </w:r>
      <w:r>
        <w:t xml:space="preserve">   Tấm khiên phòng ngự rất vững. Cứ giảm sâu là gom chờ Quý 4.</w:t>
      </w:r>
    </w:p>
    <w:p>
      <w:r>
        <w:br w:type="page"/>
      </w:r>
    </w:p>
    <w:p>
      <w:pPr>
        <w:pStyle w:val="Heading1"/>
      </w:pPr>
      <w:r>
        <w:rPr>
          <w:color w:val="003366"/>
        </w:rPr>
        <w:t>PHẦN 3: PHÂN TÍCH MA TRẬN LÚA MÌ (WHEAT - ZW) &amp; YẾU TỐ NGA</w:t>
      </w:r>
    </w:p>
    <w:p>
      <w:r>
        <w:t>Thị trường lúa mì năm 2026 là một bức tranh phân hóa sâu sắc. Nếu chỉ nhìn vào nước Mỹ, giá lúa mì đáng lẽ phải tăng phi mã. Tuy nhiên, giá thực tế lại bị ghìm chân bởi 'Ông trùm' Biển Đen.</w:t>
      </w:r>
    </w:p>
    <w:p>
      <w:pPr>
        <w:pStyle w:val="Heading2"/>
      </w:pPr>
      <w:r>
        <w:rPr>
          <w:color w:val="003366"/>
        </w:rPr>
        <w:t>3.1 Những con số Lịch sử của Mỹ (Yếu tố Bullish)</w:t>
      </w:r>
    </w:p>
    <w:p>
      <w:pPr>
        <w:pStyle w:val="ListBullet"/>
      </w:pPr>
      <w:r>
        <w:rPr>
          <w:b/>
        </w:rPr>
        <w:t xml:space="preserve">Lúa Xuân (Spring Wheat): </w:t>
      </w:r>
      <w:r>
        <w:t>Diện tích gieo trồng tụt dốc xuống 9.39 triệu acres – MỨC THẤP NHẤT 56 NĂM. Cực kỳ nhạy cảm với nắng nóng T7.</w:t>
      </w:r>
    </w:p>
    <w:p>
      <w:pPr>
        <w:pStyle w:val="ListBullet"/>
      </w:pPr>
      <w:r>
        <w:rPr>
          <w:b/>
        </w:rPr>
        <w:t xml:space="preserve">Lúa Đông (Winter Wheat): </w:t>
      </w:r>
      <w:r>
        <w:t>Chất lượng thảm họa (26% G/E). Diện tích giảm 5%.</w:t>
      </w:r>
    </w:p>
    <w:p>
      <w:pPr>
        <w:pStyle w:val="Heading2"/>
      </w:pPr>
      <w:r>
        <w:rPr>
          <w:color w:val="003366"/>
        </w:rPr>
        <w:t>3.2 Sự thống trị của Nga trong Tháng 7 (Yếu tố Bearish)</w:t>
      </w:r>
    </w:p>
    <w:p>
      <w:r>
        <w:t>Nga nắm giữ 25% thị phần xuất khẩu lúa mì toàn cầu. Sản lượng và chính sách xuất khẩu của Nga là yếu tố quyết định giá trần (Ceiling Price) của lúa mì CBOT trong Quý 3/2026.</w:t>
      </w:r>
    </w:p>
    <w:p>
      <w:r>
        <w:t>Bảng 1: Thông số mùa vụ Lúa mì Nga (Cập nhật: Tháng 7/2026)</w:t>
      </w:r>
    </w:p>
    <w:tbl>
      <w:tblPr>
        <w:tblStyle w:val="TableGrid"/>
        <w:tblW w:type="auto" w:w="0"/>
        <w:tblLook w:firstColumn="1" w:firstRow="1" w:lastColumn="0" w:lastRow="0" w:noHBand="0" w:noVBand="1" w:val="04A0"/>
      </w:tblPr>
      <w:tblGrid>
        <w:gridCol w:w="2880"/>
        <w:gridCol w:w="2880"/>
        <w:gridCol w:w="2880"/>
      </w:tblGrid>
      <w:tr>
        <w:tc>
          <w:tcPr>
            <w:tcW w:type="dxa" w:w="2880"/>
          </w:tcPr>
          <w:p>
            <w:r>
              <w:t>Chỉ Tiêu</w:t>
            </w:r>
          </w:p>
        </w:tc>
        <w:tc>
          <w:tcPr>
            <w:tcW w:type="dxa" w:w="2880"/>
          </w:tcPr>
          <w:p>
            <w:r>
              <w:t>Số Liệu Cập Nhật</w:t>
            </w:r>
          </w:p>
        </w:tc>
        <w:tc>
          <w:tcPr>
            <w:tcW w:type="dxa" w:w="2880"/>
          </w:tcPr>
          <w:p>
            <w:r>
              <w:t>Nguồn &amp; Chú thích</w:t>
            </w:r>
          </w:p>
        </w:tc>
      </w:tr>
      <w:tr>
        <w:tc>
          <w:tcPr>
            <w:tcW w:type="dxa" w:w="2880"/>
          </w:tcPr>
          <w:p>
            <w:r>
              <w:t>Diện tích gieo trồng (Acreage)</w:t>
            </w:r>
          </w:p>
        </w:tc>
        <w:tc>
          <w:tcPr>
            <w:tcW w:type="dxa" w:w="2880"/>
          </w:tcPr>
          <w:p>
            <w:r>
              <w:t>25.8 triệu ha</w:t>
            </w:r>
          </w:p>
        </w:tc>
        <w:tc>
          <w:tcPr>
            <w:tcW w:type="dxa" w:w="2880"/>
          </w:tcPr>
          <w:p>
            <w:r>
              <w:t>SovEcon (Thấp nhất từ 2014, Xuân: 9.9m, Đông: 15.9m)</w:t>
            </w:r>
          </w:p>
        </w:tc>
      </w:tr>
      <w:tr>
        <w:tc>
          <w:tcPr>
            <w:tcW w:type="dxa" w:w="2880"/>
          </w:tcPr>
          <w:p>
            <w:r>
              <w:t>Sản lượng dự báo (Production)</w:t>
            </w:r>
          </w:p>
        </w:tc>
        <w:tc>
          <w:tcPr>
            <w:tcW w:type="dxa" w:w="2880"/>
          </w:tcPr>
          <w:p>
            <w:r>
              <w:t>88.9 triệu tấn</w:t>
            </w:r>
          </w:p>
        </w:tc>
        <w:tc>
          <w:tcPr>
            <w:tcW w:type="dxa" w:w="2880"/>
          </w:tcPr>
          <w:p>
            <w:r>
              <w:t>SovEcon giảm dự báo. (IKAR: 86-91.5m)</w:t>
            </w:r>
          </w:p>
        </w:tc>
      </w:tr>
      <w:tr>
        <w:tc>
          <w:tcPr>
            <w:tcW w:type="dxa" w:w="2880"/>
          </w:tcPr>
          <w:p>
            <w:r>
              <w:t>Tiến độ thu hoạch (Progress)</w:t>
            </w:r>
          </w:p>
        </w:tc>
        <w:tc>
          <w:tcPr>
            <w:tcW w:type="dxa" w:w="2880"/>
          </w:tcPr>
          <w:p>
            <w:r>
              <w:t>Đạt 3%</w:t>
            </w:r>
          </w:p>
        </w:tc>
        <w:tc>
          <w:tcPr>
            <w:tcW w:type="dxa" w:w="2880"/>
          </w:tcPr>
          <w:p>
            <w:r>
              <w:t>Trễ 1-2 tuần do mưa lạnh mùa xuân.</w:t>
            </w:r>
          </w:p>
        </w:tc>
      </w:tr>
      <w:tr>
        <w:tc>
          <w:tcPr>
            <w:tcW w:type="dxa" w:w="2880"/>
          </w:tcPr>
          <w:p>
            <w:r>
              <w:t>Giá FOB giao tháng 7</w:t>
            </w:r>
          </w:p>
        </w:tc>
        <w:tc>
          <w:tcPr>
            <w:tcW w:type="dxa" w:w="2880"/>
          </w:tcPr>
          <w:p>
            <w:r>
              <w:t>$242 / tấn (12.5% pro)</w:t>
            </w:r>
          </w:p>
        </w:tc>
        <w:tc>
          <w:tcPr>
            <w:tcW w:type="dxa" w:w="2880"/>
          </w:tcPr>
          <w:p>
            <w:r>
              <w:t>Giá đang được neo cao do nông dân găm hàng.</w:t>
            </w:r>
          </w:p>
        </w:tc>
      </w:tr>
      <w:tr>
        <w:tc>
          <w:tcPr>
            <w:tcW w:type="dxa" w:w="2880"/>
          </w:tcPr>
          <w:p>
            <w:r>
              <w:t>Thời gian &amp; Vấn đề mùa vụ</w:t>
            </w:r>
          </w:p>
        </w:tc>
        <w:tc>
          <w:tcPr>
            <w:tcW w:type="dxa" w:w="2880"/>
          </w:tcPr>
          <w:p>
            <w:r>
              <w:t>Thiếu hụt nhiên liệu</w:t>
            </w:r>
          </w:p>
        </w:tc>
        <w:tc>
          <w:tcPr>
            <w:tcW w:type="dxa" w:w="2880"/>
          </w:tcPr>
          <w:p>
            <w:r>
              <w:t>Nông dân thiếu dầu Diesel để chạy máy gặt.</w:t>
            </w:r>
          </w:p>
        </w:tc>
      </w:tr>
    </w:tbl>
    <w:p/>
    <w:p>
      <w:pPr>
        <w:pStyle w:val="ListBullet"/>
      </w:pPr>
      <w:r>
        <w:rPr>
          <w:b/>
        </w:rPr>
        <w:t xml:space="preserve">Quyền lực Tháng 7 (Harvest Pressure): </w:t>
      </w:r>
      <w:r>
        <w:t>Khi Nga bước vào vụ gặt, lượng hàng khổng lồ đổ về các cảng Biển Đen. Họ thường bán phá giá (Dumping) qua giá FOB để thu ngoại tệ. Bất kể Mỹ đang hạn hán, lúa mì Mỹ (SRW/HRW) bắt buộc phải 'Price Match' (giảm giá theo) để cạnh tranh xuất khẩu.</w:t>
      </w:r>
    </w:p>
    <w:p>
      <w:pPr>
        <w:pStyle w:val="Heading2"/>
      </w:pPr>
      <w:r>
        <w:rPr>
          <w:color w:val="003366"/>
        </w:rPr>
        <w:t>3.3 Cấu trúc "Đáy U-Shape" và Sóng vỗ bờ liên tục</w:t>
      </w:r>
    </w:p>
    <w:p>
      <w:r>
        <w:t>Sự chênh lệch giữa Mỹ (Bullish) và Nga (Bearish) tạo ra một chu kỳ giá rất đặc thù cho ZW: Đáy U-Shape (Kéo dài).</w:t>
      </w:r>
    </w:p>
    <w:p>
      <w:pPr>
        <w:pStyle w:val="ListBullet"/>
      </w:pPr>
      <w:r>
        <w:rPr>
          <w:b/>
        </w:rPr>
        <w:t xml:space="preserve">Nhịp 1 (Tháng 7) - Rủi ro Bull Trap: </w:t>
      </w:r>
      <w:r>
        <w:t>Mỹ gặt lúa đông kết hợp với Nga bắt đầu đưa hàng ra Biển Đen. Giá CBOT bị đè bẹp. Rất nhiều trader phân tích cơ bản (chỉ nhìn hạn hán của Mỹ) sẽ vội vã MUA tại đây và dính Bẫy (Bull Trap).</w:t>
      </w:r>
    </w:p>
    <w:p>
      <w:pPr>
        <w:pStyle w:val="ListBullet"/>
      </w:pPr>
      <w:r>
        <w:rPr>
          <w:b/>
        </w:rPr>
        <w:t xml:space="preserve">Nhịp 2 (Tháng 8) - Điểm Mua Vàng: </w:t>
      </w:r>
      <w:r>
        <w:t>Nga đã qua đỉnh xả hàng. Mỹ bắt đầu gặt Lúa xuân (năng suất thảm hại do nắng nóng Tháng 7 lộ diện). Áp lực từ Nga giảm + Cú sốc từ Mỹ tăng = Điểm uốn của thị trường (Market Inflection Point).</w:t>
      </w:r>
    </w:p>
    <w:p>
      <w:pPr>
        <w:pStyle w:val="Heading2"/>
      </w:pPr>
      <w:r>
        <w:rPr>
          <w:color w:val="003366"/>
        </w:rPr>
        <w:t>3.4 Chiến lược Thực chiến (Golden Zone)</w:t>
      </w:r>
    </w:p>
    <w:p>
      <w:pPr>
        <w:pStyle w:val="ListBullet"/>
      </w:pPr>
      <w:r>
        <w:rPr>
          <w:b/>
        </w:rPr>
        <w:t xml:space="preserve">Tháng 7: </w:t>
      </w:r>
      <w:r>
        <w:t>Nghiêm cấm All-in Mua lên (Long). Vùng giá 570 - 585 là vùng giá rẻ, nhưng chỉ nên giải ngân 20% - 30% vốn để dò đường. Mọi đợt hồi phục đều có xác suất cao là bẫy săn thanh khoản.</w:t>
      </w:r>
    </w:p>
    <w:p>
      <w:pPr>
        <w:pStyle w:val="ListBullet"/>
      </w:pPr>
      <w:r>
        <w:rPr>
          <w:b/>
        </w:rPr>
        <w:t xml:space="preserve">Tháng 8 &amp; Tháng 9: </w:t>
      </w:r>
      <w:r>
        <w:t>Phục kích Cú nổ (The Breakout). Canh các tín hiệu SMC (MSS) trên khung H4/D1 tại vùng giá đáy khi tin tức xả hàng của Nga đã bão hòa (Priced-in). Dồn hỏa lực mua mạnh.</w:t>
      </w:r>
    </w:p>
    <w:p>
      <w:r>
        <w:rPr>
          <w:b/>
        </w:rPr>
        <w:t xml:space="preserve">   =&gt; Mục tiêu chốt lời dài hạn: </w:t>
      </w:r>
      <w:r>
        <w:t>680.00 - 720.00+ cents.</w:t>
        <w:br/>
      </w:r>
    </w:p>
    <w:p>
      <w:pPr>
        <w:pStyle w:val="Heading2"/>
      </w:pPr>
      <w:r>
        <w:rPr>
          <w:color w:val="003366"/>
        </w:rPr>
        <w:t>3.5 Biểu đồ Lúa Mì</w:t>
      </w:r>
    </w:p>
    <w:p>
      <w:r>
        <w:drawing>
          <wp:inline xmlns:a="http://schemas.openxmlformats.org/drawingml/2006/main" xmlns:pic="http://schemas.openxmlformats.org/drawingml/2006/picture">
            <wp:extent cx="5486400" cy="2968987"/>
            <wp:docPr id="1" name="Picture 1"/>
            <wp:cNvGraphicFramePr>
              <a:graphicFrameLocks noChangeAspect="1"/>
            </wp:cNvGraphicFramePr>
            <a:graphic>
              <a:graphicData uri="http://schemas.openxmlformats.org/drawingml/2006/picture">
                <pic:pic>
                  <pic:nvPicPr>
                    <pic:cNvPr id="0" name="ZW_Forecast_Chart_2026.png"/>
                    <pic:cNvPicPr/>
                  </pic:nvPicPr>
                  <pic:blipFill>
                    <a:blip r:embed="rId9"/>
                    <a:stretch>
                      <a:fillRect/>
                    </a:stretch>
                  </pic:blipFill>
                  <pic:spPr>
                    <a:xfrm>
                      <a:off x="0" y="0"/>
                      <a:ext cx="5486400" cy="2968987"/>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