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`100.10` (-4.50%)</w:t>
      </w:r>
      <w:r>
        <w:t xml:space="preserve"> | DXY: </w:t>
      </w:r>
      <w:r>
        <w:rPr>
          <w:b/>
        </w:rPr>
        <w:t>`100.48` (+0.26%)</w:t>
      </w:r>
      <w:r>
        <w:t xml:space="preserve"> | Lúa mì CBOT: </w:t>
      </w:r>
      <w:r>
        <w:rPr>
          <w:b/>
        </w:rPr>
        <w:t>`718.00` (-1.27%)</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`715.00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`671.50 - 715.00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526.71 (+0.21)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(530.32 &lt; 531.51)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719.20 (+1.20)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(724.31 &lt; 725.65)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525.00 - 530.32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465.95 - 473.75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724.31 - 725.65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715.00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730.00 - 732.00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655.28 - 671.50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526.50 cents | </w:t>
      </w:r>
      <w:r>
        <w:rPr>
          <w:b/>
        </w:rPr>
        <w:t>Dự báo Chốt Phiên:</w:t>
      </w:r>
      <w:r>
        <w:t xml:space="preserve"> </w:t>
      </w:r>
      <w:r>
        <w:rPr>
          <w:b/>
        </w:rPr>
        <w:t>`526.71 cents`</w:t>
      </w:r>
      <w:r>
        <w:t xml:space="preserve"> (+0.21).</w:t>
      </w:r>
    </w:p>
    <w:p>
      <w:pPr>
        <w:pStyle w:val="ListBullet"/>
        <w:spacing w:before="0" w:after="60"/>
      </w:pPr>
      <w:r>
        <w:rPr>
          <w:b/>
        </w:rPr>
        <w:t>Thanh khoản phiên chốt:</w:t>
      </w:r>
      <w:r>
        <w:t xml:space="preserve"> Volume: </w:t>
      </w:r>
      <w:r>
        <w:rPr>
          <w:b/>
        </w:rPr>
        <w:t>`60,124`</w:t>
      </w:r>
      <w:r>
        <w:t xml:space="preserve"> (Chênh lệch: </w:t>
      </w:r>
      <w:r>
        <w:rPr>
          <w:b/>
        </w:rPr>
        <w:t>`-140,993`</w:t>
      </w:r>
      <w:r>
        <w:t xml:space="preserve">) | OI: </w:t>
      </w:r>
      <w:r>
        <w:rPr>
          <w:b/>
        </w:rPr>
        <w:t>`940,753`</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(530.32) &lt; </w:t>
      </w:r>
      <w:r>
        <w:rPr>
          <w:rFonts w:ascii="Consolas" w:hAnsi="Consolas"/>
          <w:color w:val="D97706"/>
          <w:sz w:val="19"/>
        </w:rPr>
        <w:t xml:space="preserve"> EMA_50 </w:t>
      </w:r>
      <w:r>
        <w:t xml:space="preserve"> (531.51).</w:t>
      </w:r>
    </w:p>
    <w:p>
      <w:pPr>
        <w:pStyle w:val="ListBullet"/>
        <w:spacing w:before="0" w:after="60"/>
      </w:pPr>
      <w:r>
        <w:rPr>
          <w:b/>
        </w:rPr>
        <w:t>Động lượng &amp; Dao động:</w:t>
      </w:r>
      <w:r>
        <w:t xml:space="preserve"> RSI (14) = </w:t>
      </w:r>
      <w:r>
        <w:rPr>
          <w:b/>
        </w:rPr>
        <w:t>`34.87`</w:t>
      </w:r>
      <w:r>
        <w:t xml:space="preserve"> | ATR (14) = </w:t>
      </w:r>
      <w:r>
        <w:rPr>
          <w:b/>
        </w:rPr>
        <w:t>`1.95`</w:t>
      </w:r>
      <w:r>
        <w:t xml:space="preserve"> cents | Volatility = </w:t>
      </w:r>
      <w:r>
        <w:rPr>
          <w:b/>
        </w:rPr>
        <w:t>`3.25 cents`</w:t>
      </w:r>
      <w:r>
        <w:t>.</w:t>
      </w:r>
    </w:p>
    <w:p>
      <w:pPr>
        <w:pStyle w:val="ListBullet"/>
        <w:spacing w:before="0" w:after="60"/>
      </w:pPr>
      <w:r>
        <w:rPr>
          <w:b/>
        </w:rPr>
        <w:t>Vùng cản Pivot:</w:t>
      </w:r>
      <w:r>
        <w:t xml:space="preserve"> Hỗ trợ S1: </w:t>
      </w:r>
      <w:r>
        <w:rPr>
          <w:b/>
        </w:rPr>
        <w:t>`525.00`</w:t>
      </w:r>
      <w:r>
        <w:t xml:space="preserve"> | S2: </w:t>
      </w:r>
      <w:r>
        <w:rPr>
          <w:b/>
        </w:rPr>
        <w:t>`473.75`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`525.00 - 530.32 cents (Canh mua vùng hỗ trợ)`</w:t>
      </w:r>
      <w:r>
        <w:t xml:space="preserve"> | SL: </w:t>
      </w:r>
      <w:r>
        <w:rPr>
          <w:b/>
        </w:rPr>
        <w:t>`470.83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`471.80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`530.95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`465.95 - 473.75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718.00 cents | </w:t>
      </w:r>
      <w:r>
        <w:rPr>
          <w:b/>
        </w:rPr>
        <w:t>Dự báo Chốt Phiên:</w:t>
      </w:r>
      <w:r>
        <w:t xml:space="preserve"> </w:t>
      </w:r>
      <w:r>
        <w:rPr>
          <w:b/>
        </w:rPr>
        <w:t>`719.20 cents`</w:t>
      </w:r>
      <w:r>
        <w:t xml:space="preserve"> (+1.20).</w:t>
      </w:r>
    </w:p>
    <w:p>
      <w:pPr>
        <w:pStyle w:val="ListBullet"/>
        <w:spacing w:before="0" w:after="60"/>
      </w:pPr>
      <w:r>
        <w:rPr>
          <w:b/>
        </w:rPr>
        <w:t>Thanh khoản phiên chốt:</w:t>
      </w:r>
      <w:r>
        <w:t xml:space="preserve"> Volume: </w:t>
      </w:r>
      <w:r>
        <w:rPr>
          <w:b/>
        </w:rPr>
        <w:t>`12,886`</w:t>
      </w:r>
      <w:r>
        <w:t xml:space="preserve"> (Chênh lệch: </w:t>
      </w:r>
      <w:r>
        <w:rPr>
          <w:b/>
        </w:rPr>
        <w:t>`-44,966`</w:t>
      </w:r>
      <w:r>
        <w:t xml:space="preserve">) | OI: </w:t>
      </w:r>
      <w:r>
        <w:rPr>
          <w:b/>
        </w:rPr>
        <w:t>`257,744`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(724.31) &lt; </w:t>
      </w:r>
      <w:r>
        <w:rPr>
          <w:rFonts w:ascii="Consolas" w:hAnsi="Consolas"/>
          <w:color w:val="D97706"/>
          <w:sz w:val="19"/>
        </w:rPr>
        <w:t xml:space="preserve"> EMA_50 </w:t>
      </w:r>
      <w:r>
        <w:t xml:space="preserve"> (725.65).</w:t>
      </w:r>
    </w:p>
    <w:p>
      <w:pPr>
        <w:pStyle w:val="ListBullet"/>
        <w:spacing w:before="0" w:after="60"/>
      </w:pPr>
      <w:r>
        <w:rPr>
          <w:b/>
        </w:rPr>
        <w:t>Động lượng &amp; Dao động:</w:t>
      </w:r>
      <w:r>
        <w:t xml:space="preserve"> RSI (14) = </w:t>
      </w:r>
      <w:r>
        <w:rPr>
          <w:b/>
        </w:rPr>
        <w:t>`38.38`</w:t>
      </w:r>
      <w:r>
        <w:t xml:space="preserve"> | ATR (14) = </w:t>
      </w:r>
      <w:r>
        <w:rPr>
          <w:b/>
        </w:rPr>
        <w:t>`4.06`</w:t>
      </w:r>
      <w:r>
        <w:t xml:space="preserve"> cents | Volatility = </w:t>
      </w:r>
      <w:r>
        <w:rPr>
          <w:b/>
        </w:rPr>
        <w:t>`7.00 cents`</w:t>
      </w:r>
      <w:r>
        <w:t>.</w:t>
      </w:r>
    </w:p>
    <w:p>
      <w:pPr>
        <w:pStyle w:val="ListBullet"/>
        <w:spacing w:before="0" w:after="60"/>
      </w:pPr>
      <w:r>
        <w:rPr>
          <w:b/>
        </w:rPr>
        <w:t>Vùng cản Pivot:</w:t>
      </w:r>
      <w:r>
        <w:t xml:space="preserve"> Hỗ trợ S1: </w:t>
      </w:r>
      <w:r>
        <w:rPr>
          <w:b/>
        </w:rPr>
        <w:t>`715.00`</w:t>
      </w:r>
      <w:r>
        <w:t xml:space="preserve"> | S2: </w:t>
      </w:r>
      <w:r>
        <w:rPr>
          <w:b/>
        </w:rPr>
        <w:t>`671.50`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`724.31 - 725.65 cents (Canh bán hồi kỹ thuật H1)`</w:t>
      </w:r>
      <w:r>
        <w:t xml:space="preserve"> | SL: </w:t>
      </w:r>
      <w:r>
        <w:rPr>
          <w:b/>
        </w:rPr>
        <w:t>`801.08 cents (Trên kháng cự R2 + 1.5x ATR)`</w:t>
      </w:r>
      <w:r>
        <w:t xml:space="preserve"> | TP: </w:t>
      </w:r>
      <w:r>
        <w:rPr>
          <w:rFonts w:ascii="Consolas" w:hAnsi="Consolas"/>
          <w:color w:val="D97706"/>
          <w:sz w:val="19"/>
        </w:rPr>
        <w:t xml:space="preserve"> 715.00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`730.00 - 732.00 cents`</w:t>
      </w:r>
      <w:r>
        <w:t xml:space="preserve"> | SL: </w:t>
      </w:r>
      <w:r>
        <w:rPr>
          <w:b/>
        </w:rPr>
        <w:t>`684.52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`746.48 cents`</w:t>
      </w:r>
      <w:r>
        <w:t xml:space="preserve"> | TP: </w:t>
      </w:r>
      <w:r>
        <w:rPr>
          <w:b/>
        </w:rPr>
        <w:t>`688.25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`655.28 - 671.50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