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96.94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`96.94` (+0.00%)</w:t>
      </w:r>
      <w:r>
        <w:t xml:space="preserve"> | DXY: </w:t>
      </w:r>
      <w:r>
        <w:rPr>
          <w:b/>
        </w:rPr>
        <w:t>`100.45` (+0.00%)</w:t>
      </w:r>
      <w:r>
        <w:t xml:space="preserve"> | Lúa mì CBOT: </w:t>
      </w:r>
      <w:r>
        <w:rPr>
          <w:b/>
        </w:rPr>
        <w:t>`723.50`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542.16 (-0.59)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(537.36 &gt; 534.52)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725.17 (+1.67)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(724.33 &gt; 724.28)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539.75 - 537.36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538.25 - 539.75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480.99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544.75 - 546.25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474.21 - 483.25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724.33 - 724.28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660.36 - 677.00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542.75 cents | </w:t>
      </w:r>
      <w:r>
        <w:rPr>
          <w:b/>
        </w:rPr>
        <w:t>Dự báo Chốt Phiên:</w:t>
      </w:r>
      <w:r>
        <w:t xml:space="preserve"> </w:t>
      </w:r>
      <w:r>
        <w:rPr>
          <w:b/>
        </w:rPr>
        <w:t>`542.16 cents`</w:t>
      </w:r>
      <w:r>
        <w:t xml:space="preserve"> (-0.59).</w:t>
      </w:r>
    </w:p>
    <w:p>
      <w:pPr>
        <w:pStyle w:val="ListBullet"/>
        <w:spacing w:before="0" w:after="60"/>
      </w:pPr>
      <w:r>
        <w:rPr>
          <w:b/>
        </w:rPr>
        <w:t>Thanh khoản phiên chốt:</w:t>
      </w:r>
      <w:r>
        <w:t xml:space="preserve"> Volume: </w:t>
      </w:r>
      <w:r>
        <w:rPr>
          <w:b/>
        </w:rPr>
        <w:t>`8,497`</w:t>
      </w:r>
      <w:r>
        <w:t xml:space="preserve"> (Chênh lệch: </w:t>
      </w:r>
      <w:r>
        <w:rPr>
          <w:b/>
        </w:rPr>
        <w:t>`-16,783`</w:t>
      </w:r>
      <w:r>
        <w:t xml:space="preserve">) | OI: </w:t>
      </w:r>
      <w:r>
        <w:rPr>
          <w:b/>
        </w:rPr>
        <w:t>`941,835`</w:t>
      </w:r>
      <w:r>
        <w:t xml:space="preserve"> (Chênh lệch: </w:t>
      </w:r>
      <w:r>
        <w:rPr>
          <w:b/>
        </w:rPr>
        <w:t>`-475`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(537.36) &gt; </w:t>
      </w:r>
      <w:r>
        <w:rPr>
          <w:rFonts w:ascii="Consolas" w:hAnsi="Consolas"/>
          <w:color w:val="D97706"/>
          <w:sz w:val="19"/>
        </w:rPr>
        <w:t xml:space="preserve"> EMA_50 </w:t>
      </w:r>
      <w:r>
        <w:t xml:space="preserve"> (534.52).</w:t>
      </w:r>
    </w:p>
    <w:p>
      <w:pPr>
        <w:pStyle w:val="ListBullet"/>
        <w:spacing w:before="0" w:after="60"/>
      </w:pPr>
      <w:r>
        <w:rPr>
          <w:b/>
        </w:rPr>
        <w:t>Động lượng &amp; Dao động:</w:t>
      </w:r>
      <w:r>
        <w:t xml:space="preserve"> RSI (14) = </w:t>
      </w:r>
      <w:r>
        <w:rPr>
          <w:b/>
        </w:rPr>
        <w:t>`74.91`</w:t>
      </w:r>
      <w:r>
        <w:t xml:space="preserve"> | ATR (14) = </w:t>
      </w:r>
      <w:r>
        <w:rPr>
          <w:b/>
        </w:rPr>
        <w:t>`2.26`</w:t>
      </w:r>
      <w:r>
        <w:t xml:space="preserve"> cents | Volatility = </w:t>
      </w:r>
      <w:r>
        <w:rPr>
          <w:b/>
        </w:rPr>
        <w:t>`1.25 cents`</w:t>
      </w:r>
      <w:r>
        <w:t>.</w:t>
      </w:r>
    </w:p>
    <w:p>
      <w:pPr>
        <w:pStyle w:val="ListBullet"/>
        <w:spacing w:before="0" w:after="60"/>
      </w:pPr>
      <w:r>
        <w:rPr>
          <w:b/>
        </w:rPr>
        <w:t>Vùng cản Pivot:</w:t>
      </w:r>
      <w:r>
        <w:t xml:space="preserve"> Hỗ trợ S1: </w:t>
      </w:r>
      <w:r>
        <w:rPr>
          <w:b/>
        </w:rPr>
        <w:t>`539.75`</w:t>
      </w:r>
      <w:r>
        <w:t xml:space="preserve"> | S2: </w:t>
      </w:r>
      <w:r>
        <w:rPr>
          <w:b/>
        </w:rPr>
        <w:t>`483.25`</w:t>
      </w:r>
      <w:r>
        <w:t xml:space="preserve"> || Kháng cự R1: </w:t>
      </w:r>
      <w:r>
        <w:rPr>
          <w:b/>
        </w:rPr>
        <w:t>`544.75`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`539.75 - 537.36 cents (Canh mua vùng hỗ trợ)`</w:t>
      </w:r>
      <w:r>
        <w:t xml:space="preserve"> | SL: </w:t>
      </w:r>
      <w:r>
        <w:rPr>
          <w:b/>
        </w:rPr>
        <w:t>`479.86 cents (Dưới cản S2 + 1.5x ATR)`</w:t>
      </w:r>
      <w:r>
        <w:t xml:space="preserve"> | TP: </w:t>
      </w:r>
      <w:r>
        <w:rPr>
          <w:rFonts w:ascii="Consolas" w:hAnsi="Consolas"/>
          <w:color w:val="D97706"/>
          <w:sz w:val="19"/>
        </w:rPr>
        <w:t xml:space="preserve"> 544.75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`538.25 - 539.75 cents`</w:t>
      </w:r>
      <w:r>
        <w:t xml:space="preserve"> | SL: </w:t>
      </w:r>
      <w:r>
        <w:rPr>
          <w:b/>
        </w:rPr>
        <w:t>`480.99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`544.75 - 546.25 cents`</w:t>
      </w:r>
      <w:r>
        <w:t xml:space="preserve"> | SL: </w:t>
      </w:r>
      <w:r>
        <w:rPr>
          <w:b/>
        </w:rPr>
        <w:t>`547.01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`474.21 - 483.25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723.50 cents | </w:t>
      </w:r>
      <w:r>
        <w:rPr>
          <w:b/>
        </w:rPr>
        <w:t>Dự báo Chốt Phiên:</w:t>
      </w:r>
      <w:r>
        <w:t xml:space="preserve"> </w:t>
      </w:r>
      <w:r>
        <w:rPr>
          <w:b/>
        </w:rPr>
        <w:t>`725.17 cents`</w:t>
      </w:r>
      <w:r>
        <w:t xml:space="preserve"> (+1.67).</w:t>
      </w:r>
    </w:p>
    <w:p>
      <w:pPr>
        <w:pStyle w:val="ListBullet"/>
        <w:spacing w:before="0" w:after="60"/>
      </w:pPr>
      <w:r>
        <w:rPr>
          <w:b/>
        </w:rPr>
        <w:t>Thanh khoản phiên chốt:</w:t>
      </w:r>
      <w:r>
        <w:t xml:space="preserve"> Volume: </w:t>
      </w:r>
      <w:r>
        <w:rPr>
          <w:b/>
        </w:rPr>
        <w:t>`1,772`</w:t>
      </w:r>
      <w:r>
        <w:t xml:space="preserve"> (Chênh lệch: </w:t>
      </w:r>
      <w:r>
        <w:rPr>
          <w:b/>
        </w:rPr>
        <w:t>`-4,397`</w:t>
      </w:r>
      <w:r>
        <w:t xml:space="preserve">) | OI: </w:t>
      </w:r>
      <w:r>
        <w:rPr>
          <w:b/>
        </w:rPr>
        <w:t>`256,242`</w:t>
      </w:r>
      <w:r>
        <w:t xml:space="preserve"> (Chênh lệch: </w:t>
      </w:r>
      <w:r>
        <w:rPr>
          <w:b/>
        </w:rPr>
        <w:t>`-1,725`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(724.33) &gt; </w:t>
      </w:r>
      <w:r>
        <w:rPr>
          <w:rFonts w:ascii="Consolas" w:hAnsi="Consolas"/>
          <w:color w:val="D97706"/>
          <w:sz w:val="19"/>
        </w:rPr>
        <w:t xml:space="preserve"> EMA_50 </w:t>
      </w:r>
      <w:r>
        <w:t xml:space="preserve"> (724.28).</w:t>
      </w:r>
    </w:p>
    <w:p>
      <w:pPr>
        <w:pStyle w:val="ListBullet"/>
        <w:spacing w:before="0" w:after="60"/>
      </w:pPr>
      <w:r>
        <w:rPr>
          <w:b/>
        </w:rPr>
        <w:t>Động lượng &amp; Dao động:</w:t>
      </w:r>
      <w:r>
        <w:t xml:space="preserve"> RSI (14) = </w:t>
      </w:r>
      <w:r>
        <w:rPr>
          <w:b/>
        </w:rPr>
        <w:t>`48.43`</w:t>
      </w:r>
      <w:r>
        <w:t xml:space="preserve"> | ATR (14) = </w:t>
      </w:r>
      <w:r>
        <w:rPr>
          <w:b/>
        </w:rPr>
        <w:t>`4.16`</w:t>
      </w:r>
      <w:r>
        <w:t xml:space="preserve"> cents | Volatility = </w:t>
      </w:r>
      <w:r>
        <w:rPr>
          <w:b/>
        </w:rPr>
        <w:t>`3.25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`724.33 - 724.28 cents (Canh bán hồi kỹ thuật H1)`</w:t>
      </w:r>
      <w:r>
        <w:t xml:space="preserve"> | SL: </w:t>
      </w:r>
      <w:r>
        <w:rPr>
          <w:b/>
        </w:rPr>
        <w:t>`801.24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`672.84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`729.91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`660.36 - 677.00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