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20:20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`100.67` (+2.81%)</w:t>
      </w:r>
      <w:r>
        <w:t xml:space="preserve"> | DXY: </w:t>
      </w:r>
      <w:r>
        <w:rPr>
          <w:b/>
        </w:rPr>
        <w:t>`98.68` (-0.16%)</w:t>
      </w:r>
      <w:r>
        <w:t xml:space="preserve"> | Lúa mì CBOT: </w:t>
      </w:r>
      <w:r>
        <w:rPr>
          <w:b/>
        </w:rPr>
        <w:t>`746.50` (+2.23%)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20:20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 (+1.00)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(532.94 &lt; 535.13)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749.17 (+2.67)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(747.68 &lt; 749.89)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528.00 - 532.94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747.68 - 749.89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749.50 - 751.50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754.82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623.96 - 645.25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529.75 cents | </w:t>
      </w:r>
      <w:r>
        <w:rPr>
          <w:b/>
        </w:rPr>
        <w:t>Dự báo Chốt Phiên:</w:t>
      </w:r>
      <w:r>
        <w:t xml:space="preserve"> </w:t>
      </w:r>
      <w:r>
        <w:rPr>
          <w:b/>
        </w:rPr>
        <w:t>`530.75 cents`</w:t>
      </w:r>
      <w:r>
        <w:t xml:space="preserve"> (+1.00).</w:t>
      </w:r>
    </w:p>
    <w:p>
      <w:pPr>
        <w:pStyle w:val="ListBullet"/>
        <w:spacing w:before="0" w:after="60"/>
      </w:pPr>
      <w:r>
        <w:rPr>
          <w:b/>
        </w:rPr>
        <w:t>Thanh khoản phiên chốt:</w:t>
      </w:r>
      <w:r>
        <w:t xml:space="preserve"> Volume: </w:t>
      </w:r>
      <w:r>
        <w:rPr>
          <w:b/>
        </w:rPr>
        <w:t>`60,399`</w:t>
      </w:r>
      <w:r>
        <w:t xml:space="preserve"> (Chênh lệch: </w:t>
      </w:r>
      <w:r>
        <w:rPr>
          <w:b/>
        </w:rPr>
        <w:t>`-152,185`</w:t>
      </w:r>
      <w:r>
        <w:t xml:space="preserve">) | OI: </w:t>
      </w:r>
      <w:r>
        <w:rPr>
          <w:b/>
        </w:rPr>
        <w:t>`979,573`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(532.94) &lt; </w:t>
      </w:r>
      <w:r>
        <w:rPr>
          <w:rFonts w:ascii="Consolas" w:hAnsi="Consolas"/>
          <w:color w:val="D97706"/>
          <w:sz w:val="19"/>
        </w:rPr>
        <w:t xml:space="preserve"> EMA_50 </w:t>
      </w:r>
      <w:r>
        <w:t xml:space="preserve"> (535.13).</w:t>
      </w:r>
    </w:p>
    <w:p>
      <w:pPr>
        <w:pStyle w:val="ListBullet"/>
        <w:spacing w:before="0" w:after="60"/>
      </w:pPr>
      <w:r>
        <w:rPr>
          <w:b/>
        </w:rPr>
        <w:t>Động lượng &amp; Dao động:</w:t>
      </w:r>
      <w:r>
        <w:t xml:space="preserve"> RSI (14) = </w:t>
      </w:r>
      <w:r>
        <w:rPr>
          <w:b/>
        </w:rPr>
        <w:t>`37.41`</w:t>
      </w:r>
      <w:r>
        <w:t xml:space="preserve"> | ATR (14) = </w:t>
      </w:r>
      <w:r>
        <w:rPr>
          <w:b/>
        </w:rPr>
        <w:t>`2.23`</w:t>
      </w:r>
      <w:r>
        <w:t xml:space="preserve"> cents | Volatility = </w:t>
      </w:r>
      <w:r>
        <w:rPr>
          <w:b/>
        </w:rPr>
        <w:t>`2.50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`528.00 - 532.94 cents (Canh mua vùng hỗ trợ)`</w:t>
      </w:r>
      <w:r>
        <w:t xml:space="preserve"> | SL: </w:t>
      </w:r>
      <w:r>
        <w:rPr>
          <w:b/>
        </w:rPr>
        <w:t>`453.91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`541.75 - 543.25 cents`</w:t>
      </w:r>
      <w:r>
        <w:t xml:space="preserve"> | SL: </w:t>
      </w:r>
      <w:r>
        <w:rPr>
          <w:b/>
        </w:rPr>
        <w:t>`470.93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`551.32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746.50 cents | </w:t>
      </w:r>
      <w:r>
        <w:rPr>
          <w:b/>
        </w:rPr>
        <w:t>Dự báo Chốt Phiên:</w:t>
      </w:r>
      <w:r>
        <w:t xml:space="preserve"> </w:t>
      </w:r>
      <w:r>
        <w:rPr>
          <w:b/>
        </w:rPr>
        <w:t>`749.17 cents`</w:t>
      </w:r>
      <w:r>
        <w:t xml:space="preserve"> (+2.67).</w:t>
      </w:r>
    </w:p>
    <w:p>
      <w:pPr>
        <w:pStyle w:val="ListBullet"/>
        <w:spacing w:before="0" w:after="60"/>
      </w:pPr>
      <w:r>
        <w:rPr>
          <w:b/>
        </w:rPr>
        <w:t>Thanh khoản phiên chốt:</w:t>
      </w:r>
      <w:r>
        <w:t xml:space="preserve"> Volume: </w:t>
      </w:r>
      <w:r>
        <w:rPr>
          <w:b/>
        </w:rPr>
        <w:t>`18,211`</w:t>
      </w:r>
      <w:r>
        <w:t xml:space="preserve"> (Chênh lệch: </w:t>
      </w:r>
      <w:r>
        <w:rPr>
          <w:b/>
        </w:rPr>
        <w:t>`-84,255`</w:t>
      </w:r>
      <w:r>
        <w:t xml:space="preserve">) | OI: </w:t>
      </w:r>
      <w:r>
        <w:rPr>
          <w:b/>
        </w:rPr>
        <w:t>`261,905`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(747.68) &lt; </w:t>
      </w:r>
      <w:r>
        <w:rPr>
          <w:rFonts w:ascii="Consolas" w:hAnsi="Consolas"/>
          <w:color w:val="D97706"/>
          <w:sz w:val="19"/>
        </w:rPr>
        <w:t xml:space="preserve"> EMA_50 </w:t>
      </w:r>
      <w:r>
        <w:t xml:space="preserve"> (749.89).</w:t>
      </w:r>
    </w:p>
    <w:p>
      <w:pPr>
        <w:pStyle w:val="ListBullet"/>
        <w:spacing w:before="0" w:after="60"/>
      </w:pPr>
      <w:r>
        <w:rPr>
          <w:b/>
        </w:rPr>
        <w:t>Động lượng &amp; Dao động:</w:t>
      </w:r>
      <w:r>
        <w:t xml:space="preserve"> RSI (14) = </w:t>
      </w:r>
      <w:r>
        <w:rPr>
          <w:b/>
        </w:rPr>
        <w:t>`48.18`</w:t>
      </w:r>
      <w:r>
        <w:t xml:space="preserve"> | ATR (14) = </w:t>
      </w:r>
      <w:r>
        <w:rPr>
          <w:b/>
        </w:rPr>
        <w:t>`5.32`</w:t>
      </w:r>
      <w:r>
        <w:t xml:space="preserve"> cents | Volatility = </w:t>
      </w:r>
      <w:r>
        <w:rPr>
          <w:b/>
        </w:rPr>
        <w:t>`5.75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`747.68 - 749.89 cents (Canh bán hồi kỹ thuật H1)`</w:t>
      </w:r>
      <w:r>
        <w:t xml:space="preserve"> | SL: </w:t>
      </w:r>
      <w:r>
        <w:rPr>
          <w:b/>
        </w:rPr>
        <w:t>`802.98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`639.93 cents`</w:t>
      </w:r>
      <w:r>
        <w:t xml:space="preserve"> | TP: </w:t>
      </w:r>
      <w:r>
        <w:rPr>
          <w:b/>
        </w:rPr>
        <w:t>`749.50 cents (Đón sóng hồi trung hạn ~14.5 giá)`</w:t>
      </w:r>
      <w:r>
        <w:t>.</w:t>
      </w:r>
    </w:p>
    <w:p>
      <w:pPr>
        <w:pStyle w:val="ListBullet"/>
        <w:spacing w:before="0" w:after="60"/>
      </w:pPr>
      <w:r>
        <w:t>*</w:t>
      </w:r>
      <w:r>
        <w:rPr>
          <w:b/>
          <w:color w:val="B91C1C"/>
        </w:rPr>
        <w:t>Short</w:t>
      </w:r>
      <w:r>
        <w:t xml:space="preserve">:* Entry: </w:t>
      </w:r>
      <w:r>
        <w:rPr>
          <w:b/>
        </w:rPr>
        <w:t>`749.50 - 751.50 cents`</w:t>
      </w:r>
      <w:r>
        <w:t xml:space="preserve"> | SL: </w:t>
      </w:r>
      <w:r>
        <w:rPr>
          <w:b/>
        </w:rPr>
        <w:t>`754.82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`623.96 - 645.25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