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`79.55` (+0.24%)</w:t>
      </w:r>
      <w:r>
        <w:t xml:space="preserve"> | DXY: </w:t>
      </w:r>
      <w:r>
        <w:rPr>
          <w:b/>
        </w:rPr>
        <w:t>`99.76` (-0.13%)</w:t>
      </w:r>
      <w:r>
        <w:t xml:space="preserve"> | Lúa mì CBOT: </w:t>
      </w:r>
      <w:r>
        <w:rPr>
          <w:b/>
        </w:rPr>
        <w:t>`646.50` (+1.21%)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 (+0.75)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(440.45 &lt; 442.72)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648.86 (+2.36)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(641.02 &lt; 643.84)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435.75 - 440.45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413.77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434.25 - 435.75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427.08 - 436.50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641.02 - 643.84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649.25 - 651.25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654.30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586.86 - 606.00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437.00 cents | </w:t>
      </w:r>
      <w:r>
        <w:rPr>
          <w:b/>
        </w:rPr>
        <w:t>Dự báo Chốt Phiên:</w:t>
      </w:r>
      <w:r>
        <w:t xml:space="preserve"> </w:t>
      </w:r>
      <w:r>
        <w:rPr>
          <w:b/>
        </w:rPr>
        <w:t>`437.75 cents`</w:t>
      </w:r>
      <w:r>
        <w:t xml:space="preserve"> (+0.75).</w:t>
      </w:r>
    </w:p>
    <w:p>
      <w:pPr>
        <w:pStyle w:val="ListBullet"/>
        <w:spacing w:before="0" w:after="60"/>
      </w:pPr>
      <w:r>
        <w:rPr>
          <w:b/>
        </w:rPr>
        <w:t>Thanh khoản phiên chốt:</w:t>
      </w:r>
      <w:r>
        <w:t xml:space="preserve"> Volume: </w:t>
      </w:r>
      <w:r>
        <w:rPr>
          <w:b/>
        </w:rPr>
        <w:t>`26,128`</w:t>
      </w:r>
      <w:r>
        <w:t xml:space="preserve"> (Chênh lệch: </w:t>
      </w:r>
      <w:r>
        <w:rPr>
          <w:b/>
        </w:rPr>
        <w:t>`-102,215`</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(440.45) &lt; </w:t>
      </w:r>
      <w:r>
        <w:rPr>
          <w:rFonts w:ascii="Consolas" w:hAnsi="Consolas"/>
          <w:color w:val="D97706"/>
          <w:sz w:val="19"/>
        </w:rPr>
        <w:t xml:space="preserve"> EMA_50 </w:t>
      </w:r>
      <w:r>
        <w:t xml:space="preserve"> (442.72).</w:t>
      </w:r>
    </w:p>
    <w:p>
      <w:pPr>
        <w:pStyle w:val="ListBullet"/>
        <w:spacing w:before="0" w:after="60"/>
      </w:pPr>
      <w:r>
        <w:rPr>
          <w:b/>
        </w:rPr>
        <w:t>Động lượng &amp; Dao động:</w:t>
      </w:r>
      <w:r>
        <w:t xml:space="preserve"> RSI (14) = </w:t>
      </w:r>
      <w:r>
        <w:rPr>
          <w:b/>
        </w:rPr>
        <w:t>`34.92`</w:t>
      </w:r>
      <w:r>
        <w:t xml:space="preserve"> | ATR (14) = </w:t>
      </w:r>
      <w:r>
        <w:rPr>
          <w:b/>
        </w:rPr>
        <w:t>`2.32`</w:t>
      </w:r>
      <w:r>
        <w:t xml:space="preserve"> cents | Volatility = </w:t>
      </w:r>
      <w:r>
        <w:rPr>
          <w:b/>
        </w:rPr>
        <w:t>`4.50 cents`</w:t>
      </w:r>
      <w:r>
        <w:t>.</w:t>
      </w:r>
    </w:p>
    <w:p>
      <w:pPr>
        <w:pStyle w:val="ListBullet"/>
        <w:spacing w:before="0" w:after="60"/>
      </w:pPr>
      <w:r>
        <w:rPr>
          <w:b/>
        </w:rPr>
        <w:t>Vùng cản Pivot:</w:t>
      </w:r>
      <w:r>
        <w:t xml:space="preserve"> Hỗ trợ S1: </w:t>
      </w:r>
      <w:r>
        <w:rPr>
          <w:b/>
        </w:rPr>
        <w:t>`435.75`</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`435.75 - 440.45 cents (Canh mua vùng hỗ trợ)`</w:t>
      </w:r>
      <w:r>
        <w:t xml:space="preserve"> | SL: </w:t>
      </w:r>
      <w:r>
        <w:rPr>
          <w:b/>
        </w:rPr>
        <w:t>`413.77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`434.25 - 435.75 cents`</w:t>
      </w:r>
      <w:r>
        <w:t xml:space="preserve"> | SL: </w:t>
      </w:r>
      <w:r>
        <w:rPr>
          <w:b/>
        </w:rPr>
        <w:t>`414.93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`440.82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`427.08 - 436.50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646.50 cents | </w:t>
      </w:r>
      <w:r>
        <w:rPr>
          <w:b/>
        </w:rPr>
        <w:t>Dự báo Chốt Phiên:</w:t>
      </w:r>
      <w:r>
        <w:t xml:space="preserve"> </w:t>
      </w:r>
      <w:r>
        <w:rPr>
          <w:b/>
        </w:rPr>
        <w:t>`648.86 cents`</w:t>
      </w:r>
      <w:r>
        <w:t xml:space="preserve"> (+2.36).</w:t>
      </w:r>
    </w:p>
    <w:p>
      <w:pPr>
        <w:pStyle w:val="ListBullet"/>
        <w:spacing w:before="0" w:after="60"/>
      </w:pPr>
      <w:r>
        <w:rPr>
          <w:b/>
        </w:rPr>
        <w:t>Thanh khoản phiên chốt:</w:t>
      </w:r>
      <w:r>
        <w:t xml:space="preserve"> Volume: </w:t>
      </w:r>
      <w:r>
        <w:rPr>
          <w:b/>
        </w:rPr>
        <w:t>`24,636`</w:t>
      </w:r>
      <w:r>
        <w:t xml:space="preserve"> (Chênh lệch: </w:t>
      </w:r>
      <w:r>
        <w:rPr>
          <w:b/>
        </w:rPr>
        <w:t>`-45,872`</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(641.02) &lt; </w:t>
      </w:r>
      <w:r>
        <w:rPr>
          <w:rFonts w:ascii="Consolas" w:hAnsi="Consolas"/>
          <w:color w:val="D97706"/>
          <w:sz w:val="19"/>
        </w:rPr>
        <w:t xml:space="preserve"> EMA_50 </w:t>
      </w:r>
      <w:r>
        <w:t xml:space="preserve"> (643.84).</w:t>
      </w:r>
    </w:p>
    <w:p>
      <w:pPr>
        <w:pStyle w:val="ListBullet"/>
        <w:spacing w:before="0" w:after="60"/>
      </w:pPr>
      <w:r>
        <w:rPr>
          <w:b/>
        </w:rPr>
        <w:t>Động lượng &amp; Dao động:</w:t>
      </w:r>
      <w:r>
        <w:t xml:space="preserve"> RSI (14) = </w:t>
      </w:r>
      <w:r>
        <w:rPr>
          <w:b/>
        </w:rPr>
        <w:t>`60.88`</w:t>
      </w:r>
      <w:r>
        <w:t xml:space="preserve"> | ATR (14) = </w:t>
      </w:r>
      <w:r>
        <w:rPr>
          <w:b/>
        </w:rPr>
        <w:t>`5.05`</w:t>
      </w:r>
      <w:r>
        <w:t xml:space="preserve"> cents | Volatility = </w:t>
      </w:r>
      <w:r>
        <w:rPr>
          <w:b/>
        </w:rPr>
        <w:t>`9.50 cents`</w:t>
      </w:r>
      <w:r>
        <w:t>.</w:t>
      </w:r>
    </w:p>
    <w:p>
      <w:pPr>
        <w:pStyle w:val="ListBullet"/>
        <w:spacing w:before="0" w:after="60"/>
      </w:pPr>
      <w:r>
        <w:rPr>
          <w:b/>
        </w:rPr>
        <w:t>Vùng cản Pivot:</w:t>
      </w:r>
      <w:r>
        <w:t xml:space="preserve"> Hỗ trợ S1: </w:t>
      </w:r>
      <w:r>
        <w:rPr>
          <w:b/>
        </w:rPr>
        <w:t>`643.25`</w:t>
      </w:r>
      <w:r>
        <w:t xml:space="preserve"> | S2: </w:t>
      </w:r>
      <w:r>
        <w:rPr>
          <w:b/>
        </w:rPr>
        <w:t>`590.50`</w:t>
      </w:r>
      <w:r>
        <w:t xml:space="preserve"> || Kháng cự R1: </w:t>
      </w:r>
      <w:r>
        <w:rPr>
          <w:b/>
        </w:rPr>
        <w:t>`649.25`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`641.02 - 643.84 cents (Canh bán hồi kỹ thuật H1)`</w:t>
      </w:r>
      <w:r>
        <w:t xml:space="preserve"> | SL: </w:t>
      </w:r>
      <w:r>
        <w:rPr>
          <w:b/>
        </w:rPr>
        <w:t>`718.82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`585.45 cents`</w:t>
      </w:r>
      <w:r>
        <w:t xml:space="preserve"> | TP: </w:t>
      </w:r>
      <w:r>
        <w:rPr>
          <w:b/>
        </w:rPr>
        <w:t>`649.25 cents (Đón sóng hồi trung hạn ~14.5 giá)`</w:t>
      </w:r>
      <w:r>
        <w:t>.</w:t>
      </w:r>
    </w:p>
    <w:p>
      <w:pPr>
        <w:pStyle w:val="ListBullet"/>
        <w:spacing w:before="0" w:after="60"/>
      </w:pPr>
      <w:r>
        <w:t>*</w:t>
      </w:r>
      <w:r>
        <w:rPr>
          <w:b/>
          <w:color w:val="B91C1C"/>
        </w:rPr>
        <w:t>Short</w:t>
      </w:r>
      <w:r>
        <w:t xml:space="preserve">:* Entry: </w:t>
      </w:r>
      <w:r>
        <w:rPr>
          <w:b/>
        </w:rPr>
        <w:t>`649.25 - 651.25 cents`</w:t>
      </w:r>
      <w:r>
        <w:t xml:space="preserve"> | SL: </w:t>
      </w:r>
      <w:r>
        <w:rPr>
          <w:b/>
        </w:rPr>
        <w:t>`654.30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`586.86 - 606.00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