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`98.90` (-3.60%)</w:t>
      </w:r>
      <w:r>
        <w:t xml:space="preserve"> | DXY: </w:t>
      </w:r>
      <w:r>
        <w:rPr>
          <w:b/>
        </w:rPr>
        <w:t>`101.30` (-0.07%)</w:t>
      </w:r>
      <w:r>
        <w:t xml:space="preserve"> | Lúa mì CBOT: </w:t>
      </w:r>
      <w:r>
        <w:rPr>
          <w:b/>
        </w:rPr>
        <w:t>`691.25` (-0.22%)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524.82 (+0.32)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(523.70 &gt; 523.63)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692.85 (+1.60)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(693.51 &lt; 693.58)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523.25 - 523.70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511.68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525.75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521.75 - 523.25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525.75 - 527.25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506.56 - 514.75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693.51 - 693.58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665.74 - 681.50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524.50 cents | </w:t>
      </w:r>
      <w:r>
        <w:rPr>
          <w:b/>
        </w:rPr>
        <w:t>Dự báo Chốt Phiên:</w:t>
      </w:r>
      <w:r>
        <w:t xml:space="preserve"> </w:t>
      </w:r>
      <w:r>
        <w:rPr>
          <w:b/>
        </w:rPr>
        <w:t>`524.82 cents`</w:t>
      </w:r>
      <w:r>
        <w:t xml:space="preserve"> (+0.32).</w:t>
      </w:r>
    </w:p>
    <w:p>
      <w:pPr>
        <w:pStyle w:val="ListBullet"/>
        <w:spacing w:before="0" w:after="60"/>
      </w:pPr>
      <w:r>
        <w:rPr>
          <w:b/>
        </w:rPr>
        <w:t>Thanh khoản phiên chốt:</w:t>
      </w:r>
      <w:r>
        <w:t xml:space="preserve"> Volume: </w:t>
      </w:r>
      <w:r>
        <w:rPr>
          <w:b/>
        </w:rPr>
        <w:t>`95,417`</w:t>
      </w:r>
      <w:r>
        <w:t xml:space="preserve"> (Chênh lệch: </w:t>
      </w:r>
      <w:r>
        <w:rPr>
          <w:b/>
        </w:rPr>
        <w:t>`-150,358`</w:t>
      </w:r>
      <w:r>
        <w:t xml:space="preserve">) | OI: </w:t>
      </w:r>
      <w:r>
        <w:rPr>
          <w:b/>
        </w:rPr>
        <w:t>`913,776`</w:t>
      </w:r>
      <w:r>
        <w:t xml:space="preserve"> (Chênh lệch: </w:t>
      </w:r>
      <w:r>
        <w:rPr>
          <w:b/>
        </w:rPr>
        <w:t>`+20`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(523.70) &gt; </w:t>
      </w:r>
      <w:r>
        <w:rPr>
          <w:rFonts w:ascii="Consolas" w:hAnsi="Consolas"/>
          <w:color w:val="D97706"/>
          <w:sz w:val="19"/>
        </w:rPr>
        <w:t xml:space="preserve"> EMA_50 </w:t>
      </w:r>
      <w:r>
        <w:t xml:space="preserve"> (523.63).</w:t>
      </w:r>
    </w:p>
    <w:p>
      <w:pPr>
        <w:pStyle w:val="ListBullet"/>
        <w:spacing w:before="0" w:after="60"/>
      </w:pPr>
      <w:r>
        <w:rPr>
          <w:b/>
        </w:rPr>
        <w:t>Động lượng &amp; Dao động:</w:t>
      </w:r>
      <w:r>
        <w:t xml:space="preserve"> RSI (14) = </w:t>
      </w:r>
      <w:r>
        <w:rPr>
          <w:b/>
        </w:rPr>
        <w:t>`53.82`</w:t>
      </w:r>
      <w:r>
        <w:t xml:space="preserve"> | ATR (14) = </w:t>
      </w:r>
      <w:r>
        <w:rPr>
          <w:b/>
        </w:rPr>
        <w:t>`2.05`</w:t>
      </w:r>
      <w:r>
        <w:t xml:space="preserve"> cents | Volatility = </w:t>
      </w:r>
      <w:r>
        <w:rPr>
          <w:b/>
        </w:rPr>
        <w:t>`3.25 cents`</w:t>
      </w:r>
      <w:r>
        <w:t>.</w:t>
      </w:r>
    </w:p>
    <w:p>
      <w:pPr>
        <w:pStyle w:val="ListBullet"/>
        <w:spacing w:before="0" w:after="60"/>
      </w:pPr>
      <w:r>
        <w:rPr>
          <w:b/>
        </w:rPr>
        <w:t>Vùng cản Pivot:</w:t>
      </w:r>
      <w:r>
        <w:t xml:space="preserve"> Hỗ trợ S1: </w:t>
      </w:r>
      <w:r>
        <w:rPr>
          <w:b/>
        </w:rPr>
        <w:t>`523.25`</w:t>
      </w:r>
      <w:r>
        <w:t xml:space="preserve"> | S2: </w:t>
      </w:r>
      <w:r>
        <w:rPr>
          <w:b/>
        </w:rPr>
        <w:t>`514.75`</w:t>
      </w:r>
      <w:r>
        <w:t xml:space="preserve"> || Kháng cự R1: </w:t>
      </w:r>
      <w:r>
        <w:rPr>
          <w:b/>
        </w:rPr>
        <w:t>`525.75`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`523.25 - 523.70 cents (Canh mua vùng hỗ trợ)`</w:t>
      </w:r>
      <w:r>
        <w:t xml:space="preserve"> | SL: </w:t>
      </w:r>
      <w:r>
        <w:rPr>
          <w:b/>
        </w:rPr>
        <w:t>`511.68 cents (Dưới cản S2 + 1.5x ATR)`</w:t>
      </w:r>
      <w:r>
        <w:t xml:space="preserve"> | TP: </w:t>
      </w:r>
      <w:r>
        <w:rPr>
          <w:rFonts w:ascii="Consolas" w:hAnsi="Consolas"/>
          <w:color w:val="D97706"/>
          <w:sz w:val="19"/>
        </w:rPr>
        <w:t xml:space="preserve"> 525.75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`521.75 - 523.25 cents`</w:t>
      </w:r>
      <w:r>
        <w:t xml:space="preserve"> | SL: </w:t>
      </w:r>
      <w:r>
        <w:rPr>
          <w:b/>
        </w:rPr>
        <w:t>`512.70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`525.75 - 527.25 cents`</w:t>
      </w:r>
      <w:r>
        <w:t xml:space="preserve"> | SL: </w:t>
      </w:r>
      <w:r>
        <w:rPr>
          <w:b/>
        </w:rPr>
        <w:t>`527.80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`506.56 - 514.75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691.25 cents | </w:t>
      </w:r>
      <w:r>
        <w:rPr>
          <w:b/>
        </w:rPr>
        <w:t>Dự báo Chốt Phiên:</w:t>
      </w:r>
      <w:r>
        <w:t xml:space="preserve"> </w:t>
      </w:r>
      <w:r>
        <w:rPr>
          <w:b/>
        </w:rPr>
        <w:t>`692.85 cents`</w:t>
      </w:r>
      <w:r>
        <w:t xml:space="preserve"> (+1.60).</w:t>
      </w:r>
    </w:p>
    <w:p>
      <w:pPr>
        <w:pStyle w:val="ListBullet"/>
        <w:spacing w:before="0" w:after="60"/>
      </w:pPr>
      <w:r>
        <w:rPr>
          <w:b/>
        </w:rPr>
        <w:t>Thanh khoản phiên chốt:</w:t>
      </w:r>
      <w:r>
        <w:t xml:space="preserve"> Volume: </w:t>
      </w:r>
      <w:r>
        <w:rPr>
          <w:b/>
        </w:rPr>
        <w:t>`45,759`</w:t>
      </w:r>
      <w:r>
        <w:t xml:space="preserve"> (Chênh lệch: </w:t>
      </w:r>
      <w:r>
        <w:rPr>
          <w:b/>
        </w:rPr>
        <w:t>`-18,061`</w:t>
      </w:r>
      <w:r>
        <w:t xml:space="preserve">) | OI: </w:t>
      </w:r>
      <w:r>
        <w:rPr>
          <w:b/>
        </w:rPr>
        <w:t>`252,704`</w:t>
      </w:r>
      <w:r>
        <w:t xml:space="preserve"> (Chênh lệch: </w:t>
      </w:r>
      <w:r>
        <w:rPr>
          <w:b/>
        </w:rPr>
        <w:t>`-85`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(693.51) &lt; </w:t>
      </w:r>
      <w:r>
        <w:rPr>
          <w:rFonts w:ascii="Consolas" w:hAnsi="Consolas"/>
          <w:color w:val="D97706"/>
          <w:sz w:val="19"/>
        </w:rPr>
        <w:t xml:space="preserve"> EMA_50 </w:t>
      </w:r>
      <w:r>
        <w:t xml:space="preserve"> (693.58).</w:t>
      </w:r>
    </w:p>
    <w:p>
      <w:pPr>
        <w:pStyle w:val="ListBullet"/>
        <w:spacing w:before="0" w:after="60"/>
      </w:pPr>
      <w:r>
        <w:rPr>
          <w:b/>
        </w:rPr>
        <w:t>Động lượng &amp; Dao động:</w:t>
      </w:r>
      <w:r>
        <w:t xml:space="preserve"> RSI (14) = </w:t>
      </w:r>
      <w:r>
        <w:rPr>
          <w:b/>
        </w:rPr>
        <w:t>`46.03`</w:t>
      </w:r>
      <w:r>
        <w:t xml:space="preserve"> | ATR (14) = </w:t>
      </w:r>
      <w:r>
        <w:rPr>
          <w:b/>
        </w:rPr>
        <w:t>`3.94`</w:t>
      </w:r>
      <w:r>
        <w:t xml:space="preserve"> cents | Volatility = </w:t>
      </w:r>
      <w:r>
        <w:rPr>
          <w:b/>
        </w:rPr>
        <w:t>`4.25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`693.51 - 693.58 cents (Canh bán hồi kỹ thuật H1)`</w:t>
      </w:r>
      <w:r>
        <w:t xml:space="preserve"> | SL: </w:t>
      </w:r>
      <w:r>
        <w:rPr>
          <w:b/>
        </w:rPr>
        <w:t>`800.91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`687.25 - 689.25 cents`</w:t>
      </w:r>
      <w:r>
        <w:t xml:space="preserve"> | SL: </w:t>
      </w:r>
      <w:r>
        <w:rPr>
          <w:b/>
        </w:rPr>
        <w:t>`677.56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`697.44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`665.74 - 681.50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