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`106.89` (+0.23%)</w:t>
      </w:r>
      <w:r>
        <w:t xml:space="preserve"> | DXY: </w:t>
      </w:r>
      <w:r>
        <w:rPr>
          <w:b/>
        </w:rPr>
        <w:t>`102.12` (-0.45%)</w:t>
      </w:r>
      <w:r>
        <w:t xml:space="preserve"> | Lúa mì CBOT: </w:t>
      </w:r>
      <w:r>
        <w:rPr>
          <w:b/>
        </w:rPr>
        <w:t>`667.50` (-0.67%)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483.03 (+0.28)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(482.36 &lt; 485.07)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668.37 (+0.87)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(669.96 &lt; 672.74)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479.25 - 482.36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467.15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468.18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461.98 - 470.25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669.96 - 672.74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649.28 - 661.50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482.75 cents | </w:t>
      </w:r>
      <w:r>
        <w:rPr>
          <w:b/>
        </w:rPr>
        <w:t>Dự báo Chốt Phiên:</w:t>
      </w:r>
      <w:r>
        <w:t xml:space="preserve"> </w:t>
      </w:r>
      <w:r>
        <w:rPr>
          <w:b/>
        </w:rPr>
        <w:t>`483.03 cents`</w:t>
      </w:r>
      <w:r>
        <w:t xml:space="preserve"> (+0.28).</w:t>
      </w:r>
    </w:p>
    <w:p>
      <w:pPr>
        <w:pStyle w:val="ListBullet"/>
        <w:spacing w:before="0" w:after="60"/>
      </w:pPr>
      <w:r>
        <w:rPr>
          <w:b/>
        </w:rPr>
        <w:t>Thanh khoản phiên chốt:</w:t>
      </w:r>
      <w:r>
        <w:t xml:space="preserve"> Volume: </w:t>
      </w:r>
      <w:r>
        <w:rPr>
          <w:b/>
        </w:rPr>
        <w:t>`4,425`</w:t>
      </w:r>
      <w:r>
        <w:t xml:space="preserve"> (Chênh lệch: </w:t>
      </w:r>
      <w:r>
        <w:rPr>
          <w:b/>
        </w:rPr>
        <w:t>`-217,991`</w:t>
      </w:r>
      <w:r>
        <w:t xml:space="preserve">) | OI: </w:t>
      </w:r>
      <w:r>
        <w:rPr>
          <w:b/>
        </w:rPr>
        <w:t>`845,749`</w:t>
      </w:r>
      <w:r>
        <w:t xml:space="preserve"> (Chênh lệch: </w:t>
      </w:r>
      <w:r>
        <w:rPr>
          <w:b/>
        </w:rPr>
        <w:t>`-2,472`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(482.36) &lt; </w:t>
      </w:r>
      <w:r>
        <w:rPr>
          <w:rFonts w:ascii="Consolas" w:hAnsi="Consolas"/>
          <w:color w:val="D97706"/>
          <w:sz w:val="19"/>
        </w:rPr>
        <w:t xml:space="preserve"> EMA_50 </w:t>
      </w:r>
      <w:r>
        <w:t xml:space="preserve"> (485.07).</w:t>
      </w:r>
    </w:p>
    <w:p>
      <w:pPr>
        <w:pStyle w:val="ListBullet"/>
        <w:spacing w:before="0" w:after="60"/>
      </w:pPr>
      <w:r>
        <w:rPr>
          <w:b/>
        </w:rPr>
        <w:t>Động lượng &amp; Dao động:</w:t>
      </w:r>
      <w:r>
        <w:t xml:space="preserve"> RSI (14) = </w:t>
      </w:r>
      <w:r>
        <w:rPr>
          <w:b/>
        </w:rPr>
        <w:t>`50.31`</w:t>
      </w:r>
      <w:r>
        <w:t xml:space="preserve"> | ATR (14) = </w:t>
      </w:r>
      <w:r>
        <w:rPr>
          <w:b/>
        </w:rPr>
        <w:t>`2.07`</w:t>
      </w:r>
      <w:r>
        <w:t xml:space="preserve"> cents | Volatility = </w:t>
      </w:r>
      <w:r>
        <w:rPr>
          <w:b/>
        </w:rPr>
        <w:t>`2.25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`479.25 - 482.36 cents (Canh mua vùng hỗ trợ)`</w:t>
      </w:r>
      <w:r>
        <w:t xml:space="preserve"> | SL: </w:t>
      </w:r>
      <w:r>
        <w:rPr>
          <w:b/>
        </w:rPr>
        <w:t>`467.15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`468.18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`486.07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`461.98 - 470.25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667.50 cents | </w:t>
      </w:r>
      <w:r>
        <w:rPr>
          <w:b/>
        </w:rPr>
        <w:t>Dự báo Chốt Phiên:</w:t>
      </w:r>
      <w:r>
        <w:t xml:space="preserve"> </w:t>
      </w:r>
      <w:r>
        <w:rPr>
          <w:b/>
        </w:rPr>
        <w:t>`668.37 cents`</w:t>
      </w:r>
      <w:r>
        <w:t xml:space="preserve"> (+0.87).</w:t>
      </w:r>
    </w:p>
    <w:p>
      <w:pPr>
        <w:pStyle w:val="ListBullet"/>
        <w:spacing w:before="0" w:after="60"/>
      </w:pPr>
      <w:r>
        <w:rPr>
          <w:b/>
        </w:rPr>
        <w:t>Thanh khoản phiên chốt:</w:t>
      </w:r>
      <w:r>
        <w:t xml:space="preserve"> Volume: </w:t>
      </w:r>
      <w:r>
        <w:rPr>
          <w:b/>
        </w:rPr>
        <w:t>`2,315`</w:t>
      </w:r>
      <w:r>
        <w:t xml:space="preserve"> (Chênh lệch: </w:t>
      </w:r>
      <w:r>
        <w:rPr>
          <w:b/>
        </w:rPr>
        <w:t>`-70,211`</w:t>
      </w:r>
      <w:r>
        <w:t xml:space="preserve">) | OI: </w:t>
      </w:r>
      <w:r>
        <w:rPr>
          <w:b/>
        </w:rPr>
        <w:t>`249,610`</w:t>
      </w:r>
      <w:r>
        <w:t xml:space="preserve"> (Chênh lệch: </w:t>
      </w:r>
      <w:r>
        <w:rPr>
          <w:b/>
        </w:rPr>
        <w:t>`-1,735`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(669.96) &lt; </w:t>
      </w:r>
      <w:r>
        <w:rPr>
          <w:rFonts w:ascii="Consolas" w:hAnsi="Consolas"/>
          <w:color w:val="D97706"/>
          <w:sz w:val="19"/>
        </w:rPr>
        <w:t xml:space="preserve"> EMA_50 </w:t>
      </w:r>
      <w:r>
        <w:t xml:space="preserve"> (672.74).</w:t>
      </w:r>
    </w:p>
    <w:p>
      <w:pPr>
        <w:pStyle w:val="ListBullet"/>
        <w:spacing w:before="0" w:after="60"/>
      </w:pPr>
      <w:r>
        <w:rPr>
          <w:b/>
        </w:rPr>
        <w:t>Động lượng &amp; Dao động:</w:t>
      </w:r>
      <w:r>
        <w:t xml:space="preserve"> RSI (14) = </w:t>
      </w:r>
      <w:r>
        <w:rPr>
          <w:b/>
        </w:rPr>
        <w:t>`43.73`</w:t>
      </w:r>
      <w:r>
        <w:t xml:space="preserve"> | ATR (14) = </w:t>
      </w:r>
      <w:r>
        <w:rPr>
          <w:b/>
        </w:rPr>
        <w:t>`3.05`</w:t>
      </w:r>
      <w:r>
        <w:t xml:space="preserve"> cents | Volatility = </w:t>
      </w:r>
      <w:r>
        <w:rPr>
          <w:b/>
        </w:rPr>
        <w:t>`2.00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`755.50`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`669.96 - 672.74 cents (Canh bán hồi kỹ thuật H1)`</w:t>
      </w:r>
      <w:r>
        <w:t xml:space="preserve"> | SL: </w:t>
      </w:r>
      <w:r>
        <w:rPr>
          <w:b/>
        </w:rPr>
        <w:t>`760.08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`658.45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`673.05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`649.28 - 661.50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