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`105.87` (-0.05%)</w:t>
      </w:r>
      <w:r>
        <w:t xml:space="preserve"> | DXY: </w:t>
      </w:r>
      <w:r>
        <w:rPr>
          <w:b/>
        </w:rPr>
        <w:t>`101.68` (-0.31%)</w:t>
      </w:r>
      <w:r>
        <w:t xml:space="preserve"> | Lúa mì CBOT: </w:t>
      </w:r>
      <w:r>
        <w:rPr>
          <w:b/>
        </w:rPr>
        <w:t>`662.75` (-1.08%)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476.21 (+0.21)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(478.02 &lt; 479.64)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663.20 (+0.45)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(666.30 &lt; 668.53)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470.98 - 478.02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484.37 - 485.87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666.30 - 668.53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660.82 cents </w:t>
            </w:r>
            <w:r>
              <w:t xml:space="preserve"> / TP2: </w:t>
            </w:r>
            <w:r>
              <w:rPr>
                <w:rFonts w:ascii="Consolas" w:hAnsi="Consolas"/>
                <w:color w:val="D97706"/>
                <w:sz w:val="19"/>
              </w:rPr>
              <w:t xml:space="preserve"> 659.25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673.12 - 675.12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646.71 - 659.25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476.00 cents | </w:t>
      </w:r>
      <w:r>
        <w:rPr>
          <w:b/>
        </w:rPr>
        <w:t>Dự báo Chốt Phiên:</w:t>
      </w:r>
      <w:r>
        <w:t xml:space="preserve"> </w:t>
      </w:r>
      <w:r>
        <w:rPr>
          <w:b/>
        </w:rPr>
        <w:t>`476.21 cents`</w:t>
      </w:r>
      <w:r>
        <w:t xml:space="preserve"> (+0.21).</w:t>
      </w:r>
    </w:p>
    <w:p>
      <w:pPr>
        <w:pStyle w:val="ListBullet"/>
        <w:spacing w:before="0" w:after="60"/>
      </w:pPr>
      <w:r>
        <w:rPr>
          <w:b/>
        </w:rPr>
        <w:t>Thanh khoản phiên chốt:</w:t>
      </w:r>
      <w:r>
        <w:t xml:space="preserve"> Volume: </w:t>
      </w:r>
      <w:r>
        <w:rPr>
          <w:b/>
        </w:rPr>
        <w:t>`63,833`</w:t>
      </w:r>
      <w:r>
        <w:t xml:space="preserve"> (Chênh lệch: </w:t>
      </w:r>
      <w:r>
        <w:rPr>
          <w:b/>
        </w:rPr>
        <w:t>`-137,952`</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(478.02) &lt; </w:t>
      </w:r>
      <w:r>
        <w:rPr>
          <w:rFonts w:ascii="Consolas" w:hAnsi="Consolas"/>
          <w:color w:val="D97706"/>
          <w:sz w:val="19"/>
        </w:rPr>
        <w:t xml:space="preserve"> EMA_50 </w:t>
      </w:r>
      <w:r>
        <w:t xml:space="preserve"> (479.64).</w:t>
      </w:r>
    </w:p>
    <w:p>
      <w:pPr>
        <w:pStyle w:val="ListBullet"/>
        <w:spacing w:before="0" w:after="60"/>
      </w:pPr>
      <w:r>
        <w:rPr>
          <w:b/>
        </w:rPr>
        <w:t>Động lượng &amp; Dao động:</w:t>
      </w:r>
      <w:r>
        <w:t xml:space="preserve"> RSI (14) = </w:t>
      </w:r>
      <w:r>
        <w:rPr>
          <w:b/>
        </w:rPr>
        <w:t>`37.08`</w:t>
      </w:r>
      <w:r>
        <w:t xml:space="preserve"> | ATR (14) = </w:t>
      </w:r>
      <w:r>
        <w:rPr>
          <w:b/>
        </w:rPr>
        <w:t>`1.46`</w:t>
      </w:r>
      <w:r>
        <w:t xml:space="preserve"> cents | Volatility = </w:t>
      </w:r>
      <w:r>
        <w:rPr>
          <w:b/>
        </w:rPr>
        <w:t>`2.00 cents`</w:t>
      </w:r>
      <w:r>
        <w:t>.</w:t>
      </w:r>
    </w:p>
    <w:p>
      <w:pPr>
        <w:pStyle w:val="ListBullet"/>
        <w:spacing w:before="0" w:after="60"/>
      </w:pPr>
      <w:r>
        <w:rPr>
          <w:b/>
        </w:rPr>
        <w:t>Vùng cản Pivot:</w:t>
      </w:r>
      <w:r>
        <w:t xml:space="preserve"> Hỗ trợ S1: </w:t>
      </w:r>
      <w:r>
        <w:rPr>
          <w:b/>
        </w:rPr>
        <w:t>`470.98`</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`470.98 - 478.02 cents (Canh mua vùng hỗ trợ)`</w:t>
      </w:r>
      <w:r>
        <w:t xml:space="preserve"> | SL: </w:t>
      </w:r>
      <w:r>
        <w:rPr>
          <w:b/>
        </w:rPr>
        <w:t>`468.06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`484.37 - 485.87 cents`</w:t>
      </w:r>
      <w:r>
        <w:t xml:space="preserve"> | SL: </w:t>
      </w:r>
      <w:r>
        <w:rPr>
          <w:b/>
        </w:rPr>
        <w:t>`484.01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`492.49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`464.40 - 470.25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662.75 cents | </w:t>
      </w:r>
      <w:r>
        <w:rPr>
          <w:b/>
        </w:rPr>
        <w:t>Dự báo Chốt Phiên:</w:t>
      </w:r>
      <w:r>
        <w:t xml:space="preserve"> </w:t>
      </w:r>
      <w:r>
        <w:rPr>
          <w:b/>
        </w:rPr>
        <w:t>`663.20 cents`</w:t>
      </w:r>
      <w:r>
        <w:t xml:space="preserve"> (+0.45).</w:t>
      </w:r>
    </w:p>
    <w:p>
      <w:pPr>
        <w:pStyle w:val="ListBullet"/>
        <w:spacing w:before="0" w:after="60"/>
      </w:pPr>
      <w:r>
        <w:rPr>
          <w:b/>
        </w:rPr>
        <w:t>Thanh khoản phiên chốt:</w:t>
      </w:r>
      <w:r>
        <w:t xml:space="preserve"> Volume: </w:t>
      </w:r>
      <w:r>
        <w:rPr>
          <w:b/>
        </w:rPr>
        <w:t>`24,961`</w:t>
      </w:r>
      <w:r>
        <w:t xml:space="preserve"> (Chênh lệch: </w:t>
      </w:r>
      <w:r>
        <w:rPr>
          <w:b/>
        </w:rPr>
        <w:t>`-57,079`</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(666.30) &lt; </w:t>
      </w:r>
      <w:r>
        <w:rPr>
          <w:rFonts w:ascii="Consolas" w:hAnsi="Consolas"/>
          <w:color w:val="D97706"/>
          <w:sz w:val="19"/>
        </w:rPr>
        <w:t xml:space="preserve"> EMA_50 </w:t>
      </w:r>
      <w:r>
        <w:t xml:space="preserve"> (668.53).</w:t>
      </w:r>
    </w:p>
    <w:p>
      <w:pPr>
        <w:pStyle w:val="ListBullet"/>
        <w:spacing w:before="0" w:after="60"/>
      </w:pPr>
      <w:r>
        <w:rPr>
          <w:b/>
        </w:rPr>
        <w:t>Động lượng &amp; Dao động:</w:t>
      </w:r>
      <w:r>
        <w:t xml:space="preserve"> RSI (14) = </w:t>
      </w:r>
      <w:r>
        <w:rPr>
          <w:b/>
        </w:rPr>
        <w:t>`40.26`</w:t>
      </w:r>
      <w:r>
        <w:t xml:space="preserve"> | ATR (14) = </w:t>
      </w:r>
      <w:r>
        <w:rPr>
          <w:b/>
        </w:rPr>
        <w:t>`3.14`</w:t>
      </w:r>
      <w:r>
        <w:t xml:space="preserve"> cents | Volatility = </w:t>
      </w:r>
      <w:r>
        <w:rPr>
          <w:b/>
        </w:rPr>
        <w:t>`5.25 cents`</w:t>
      </w:r>
      <w:r>
        <w:t>.</w:t>
      </w:r>
    </w:p>
    <w:p>
      <w:pPr>
        <w:pStyle w:val="ListBullet"/>
        <w:spacing w:before="0" w:after="60"/>
      </w:pPr>
      <w:r>
        <w:rPr>
          <w:b/>
        </w:rPr>
        <w:t>Vùng cản Pivot:</w:t>
      </w:r>
      <w:r>
        <w:t xml:space="preserve"> Hỗ trợ S1: </w:t>
      </w:r>
      <w:r>
        <w:rPr>
          <w:b/>
        </w:rPr>
        <w:t>`660.82`</w:t>
      </w:r>
      <w:r>
        <w:t xml:space="preserve"> | S2: </w:t>
      </w:r>
      <w:r>
        <w:rPr>
          <w:b/>
        </w:rPr>
        <w:t>`659.25`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`666.30 - 668.53 cents (Canh bán hồi kỹ thuật H1)`</w:t>
      </w:r>
      <w:r>
        <w:t xml:space="preserve"> | SL: </w:t>
      </w:r>
      <w:r>
        <w:rPr>
          <w:b/>
        </w:rPr>
        <w:t>`740.70 cents (Trên kháng cự R2 + 1.5x ATR)`</w:t>
      </w:r>
      <w:r>
        <w:t xml:space="preserve"> | TP: </w:t>
      </w:r>
      <w:r>
        <w:rPr>
          <w:rFonts w:ascii="Consolas" w:hAnsi="Consolas"/>
          <w:color w:val="D97706"/>
          <w:sz w:val="19"/>
        </w:rPr>
        <w:t xml:space="preserve"> 660.82 cents </w:t>
      </w:r>
      <w:r>
        <w:t xml:space="preserve"> / </w:t>
      </w:r>
      <w:r>
        <w:rPr>
          <w:rFonts w:ascii="Consolas" w:hAnsi="Consolas"/>
          <w:color w:val="D97706"/>
          <w:sz w:val="19"/>
        </w:rPr>
        <w:t xml:space="preserve"> 659.25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`673.12 - 675.12 cents`</w:t>
      </w:r>
      <w:r>
        <w:t xml:space="preserve"> | SL: </w:t>
      </w:r>
      <w:r>
        <w:rPr>
          <w:b/>
        </w:rPr>
        <w:t>`671.01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`683.99 cents`</w:t>
      </w:r>
      <w:r>
        <w:t xml:space="preserve"> | TP: </w:t>
      </w:r>
      <w:r>
        <w:rPr>
          <w:b/>
        </w:rPr>
        <w:t>`673.75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`646.71 - 659.25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