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`86.82` (-0.29%)</w:t>
      </w:r>
      <w:r>
        <w:t xml:space="preserve"> | DXY: </w:t>
      </w:r>
      <w:r>
        <w:rPr>
          <w:b/>
        </w:rPr>
        <w:t>`99.50` (-0.47%)</w:t>
      </w:r>
      <w:r>
        <w:t xml:space="preserve"> | Lúa mì CBOT: </w:t>
      </w:r>
      <w:r>
        <w:rPr>
          <w:b/>
        </w:rPr>
        <w:t>`671.00` (+4.86%)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480.21 (+1.46)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(475.88 &gt; 473.17)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672.15 (+1.15)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(660.98 &gt; 655.06)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477.00 - 475.88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480.00 cents </w:t>
            </w:r>
            <w:r>
              <w:t xml:space="preserve"> / TP2: </w:t>
            </w:r>
            <w:r>
              <w:rPr>
                <w:rFonts w:ascii="Consolas" w:hAnsi="Consolas"/>
                <w:color w:val="D97706"/>
                <w:sz w:val="19"/>
              </w:rPr>
              <w:t xml:space="preserve"> 492.00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475.50 - 477.00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480.00 - 481.50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449.92 - 456.75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660.98 - 655.06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667.25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665.25 - 667.25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621.92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678.00 - 680.00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625.87 - 644.50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478.75 cents | </w:t>
      </w:r>
      <w:r>
        <w:rPr>
          <w:b/>
        </w:rPr>
        <w:t>Dự báo Chốt Phiên:</w:t>
      </w:r>
      <w:r>
        <w:t xml:space="preserve"> </w:t>
      </w:r>
      <w:r>
        <w:rPr>
          <w:b/>
        </w:rPr>
        <w:t>`480.21 cents`</w:t>
      </w:r>
      <w:r>
        <w:t xml:space="preserve"> (+1.46).</w:t>
      </w:r>
    </w:p>
    <w:p>
      <w:pPr>
        <w:pStyle w:val="ListBullet"/>
        <w:spacing w:before="0" w:after="60"/>
      </w:pPr>
      <w:r>
        <w:rPr>
          <w:b/>
        </w:rPr>
        <w:t>Thanh khoản phiên chốt:</w:t>
      </w:r>
      <w:r>
        <w:t xml:space="preserve"> Volume: </w:t>
      </w:r>
      <w:r>
        <w:rPr>
          <w:b/>
        </w:rPr>
        <w:t>`69,698`</w:t>
      </w:r>
      <w:r>
        <w:t xml:space="preserve"> (Chênh lệch: </w:t>
      </w:r>
      <w:r>
        <w:rPr>
          <w:b/>
        </w:rPr>
        <w:t>`-360,083`</w:t>
      </w:r>
      <w:r>
        <w:t xml:space="preserve">) | OI: </w:t>
      </w:r>
      <w:r>
        <w:rPr>
          <w:b/>
        </w:rPr>
        <w:t>`871,840`</w:t>
      </w:r>
      <w:r>
        <w:t xml:space="preserve"> (Chênh lệch: </w:t>
      </w:r>
      <w:r>
        <w:rPr>
          <w:b/>
        </w:rPr>
        <w:t>`+551,672`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(475.88) &gt; </w:t>
      </w:r>
      <w:r>
        <w:rPr>
          <w:rFonts w:ascii="Consolas" w:hAnsi="Consolas"/>
          <w:color w:val="D97706"/>
          <w:sz w:val="19"/>
        </w:rPr>
        <w:t xml:space="preserve"> EMA_50 </w:t>
      </w:r>
      <w:r>
        <w:t xml:space="preserve"> (473.17).</w:t>
      </w:r>
    </w:p>
    <w:p>
      <w:pPr>
        <w:pStyle w:val="ListBullet"/>
        <w:spacing w:before="0" w:after="60"/>
      </w:pPr>
      <w:r>
        <w:rPr>
          <w:b/>
        </w:rPr>
        <w:t>Động lượng &amp; Dao động:</w:t>
      </w:r>
      <w:r>
        <w:t xml:space="preserve"> RSI (14) = </w:t>
      </w:r>
      <w:r>
        <w:rPr>
          <w:b/>
        </w:rPr>
        <w:t>`63.63`</w:t>
      </w:r>
      <w:r>
        <w:t xml:space="preserve"> | ATR (14) = </w:t>
      </w:r>
      <w:r>
        <w:rPr>
          <w:b/>
        </w:rPr>
        <w:t>`1.71`</w:t>
      </w:r>
      <w:r>
        <w:t xml:space="preserve"> cents | Volatility = </w:t>
      </w:r>
      <w:r>
        <w:rPr>
          <w:b/>
        </w:rPr>
        <w:t>`3.00 cents`</w:t>
      </w:r>
      <w:r>
        <w:t>.</w:t>
      </w:r>
    </w:p>
    <w:p>
      <w:pPr>
        <w:pStyle w:val="ListBullet"/>
        <w:spacing w:before="0" w:after="60"/>
      </w:pPr>
      <w:r>
        <w:rPr>
          <w:b/>
        </w:rPr>
        <w:t>Vùng cản Pivot:</w:t>
      </w:r>
      <w:r>
        <w:t xml:space="preserve"> Hỗ trợ S1: </w:t>
      </w:r>
      <w:r>
        <w:rPr>
          <w:b/>
        </w:rPr>
        <w:t>`477.00`</w:t>
      </w:r>
      <w:r>
        <w:t xml:space="preserve"> | S2: </w:t>
      </w:r>
      <w:r>
        <w:rPr>
          <w:b/>
        </w:rPr>
        <w:t>`456.75`</w:t>
      </w:r>
      <w:r>
        <w:t xml:space="preserve"> || Kháng cự R1: </w:t>
      </w:r>
      <w:r>
        <w:rPr>
          <w:b/>
        </w:rPr>
        <w:t>`480.00`</w:t>
      </w:r>
      <w:r>
        <w:t xml:space="preserve"> | R2: </w:t>
      </w:r>
      <w:r>
        <w:rPr>
          <w:b/>
        </w:rPr>
        <w:t>`492.00`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`477.00 - 475.88 cents (Canh mua vùng hỗ trợ)`</w:t>
      </w:r>
      <w:r>
        <w:t xml:space="preserve"> | SL: </w:t>
      </w:r>
      <w:r>
        <w:rPr>
          <w:b/>
        </w:rPr>
        <w:t>`454.19 cents (Dưới cản S2 + 1.5x ATR)`</w:t>
      </w:r>
      <w:r>
        <w:t xml:space="preserve"> | TP: </w:t>
      </w:r>
      <w:r>
        <w:rPr>
          <w:rFonts w:ascii="Consolas" w:hAnsi="Consolas"/>
          <w:color w:val="D97706"/>
          <w:sz w:val="19"/>
        </w:rPr>
        <w:t xml:space="preserve"> 480.00 cents </w:t>
      </w:r>
      <w:r>
        <w:t xml:space="preserve"> / </w:t>
      </w:r>
      <w:r>
        <w:rPr>
          <w:rFonts w:ascii="Consolas" w:hAnsi="Consolas"/>
          <w:color w:val="D97706"/>
          <w:sz w:val="19"/>
        </w:rPr>
        <w:t xml:space="preserve"> 492.00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`475.50 - 477.00 cents`</w:t>
      </w:r>
      <w:r>
        <w:t xml:space="preserve"> | SL: </w:t>
      </w:r>
      <w:r>
        <w:rPr>
          <w:b/>
        </w:rPr>
        <w:t>`455.04 cents (Chống quét SL tuyệt đối)`</w:t>
      </w:r>
      <w:r>
        <w:t xml:space="preserve"> | TP: </w:t>
      </w:r>
      <w:r>
        <w:rPr>
          <w:b/>
        </w:rPr>
        <w:t>`491.00 cents (Ăn trọn biên độ ngô ~10.5 giá)`</w:t>
      </w:r>
      <w:r>
        <w:t>.</w:t>
      </w:r>
    </w:p>
    <w:p>
      <w:pPr>
        <w:pStyle w:val="ListBullet"/>
        <w:spacing w:before="0" w:after="60"/>
      </w:pPr>
      <w:r>
        <w:t>*</w:t>
      </w:r>
      <w:r>
        <w:rPr>
          <w:b/>
          <w:color w:val="B91C1C"/>
        </w:rPr>
        <w:t>Short</w:t>
      </w:r>
      <w:r>
        <w:t xml:space="preserve">:* Entry: </w:t>
      </w:r>
      <w:r>
        <w:rPr>
          <w:b/>
        </w:rPr>
        <w:t>`480.00 - 481.50 cents`</w:t>
      </w:r>
      <w:r>
        <w:t xml:space="preserve"> | SL: </w:t>
      </w:r>
      <w:r>
        <w:rPr>
          <w:b/>
        </w:rPr>
        <w:t>`481.71 cents`</w:t>
      </w:r>
      <w:r>
        <w:t xml:space="preserve"> | TP: </w:t>
      </w:r>
      <w:r>
        <w:rPr>
          <w:b/>
        </w:rPr>
        <w:t>`457.75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`449.92 - 456.75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671.00 cents | </w:t>
      </w:r>
      <w:r>
        <w:rPr>
          <w:b/>
        </w:rPr>
        <w:t>Dự báo Chốt Phiên:</w:t>
      </w:r>
      <w:r>
        <w:t xml:space="preserve"> </w:t>
      </w:r>
      <w:r>
        <w:rPr>
          <w:b/>
        </w:rPr>
        <w:t>`672.15 cents`</w:t>
      </w:r>
      <w:r>
        <w:t xml:space="preserve"> (+1.15).</w:t>
      </w:r>
    </w:p>
    <w:p>
      <w:pPr>
        <w:pStyle w:val="ListBullet"/>
        <w:spacing w:before="0" w:after="60"/>
      </w:pPr>
      <w:r>
        <w:rPr>
          <w:b/>
        </w:rPr>
        <w:t>Thanh khoản phiên chốt:</w:t>
      </w:r>
      <w:r>
        <w:t xml:space="preserve"> Volume: </w:t>
      </w:r>
      <w:r>
        <w:rPr>
          <w:b/>
        </w:rPr>
        <w:t>`37,446`</w:t>
      </w:r>
      <w:r>
        <w:t xml:space="preserve"> (Chênh lệch: </w:t>
      </w:r>
      <w:r>
        <w:rPr>
          <w:b/>
        </w:rPr>
        <w:t>`-120,067`</w:t>
      </w:r>
      <w:r>
        <w:t xml:space="preserve">) | OI: </w:t>
      </w:r>
      <w:r>
        <w:rPr>
          <w:b/>
        </w:rPr>
        <w:t>`99,530`</w:t>
      </w:r>
      <w:r>
        <w:t xml:space="preserve"> (Chênh lệch: </w:t>
      </w:r>
      <w:r>
        <w:rPr>
          <w:b/>
        </w:rPr>
        <w:t>`-14,611`</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86.82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(660.98) &gt; </w:t>
      </w:r>
      <w:r>
        <w:rPr>
          <w:rFonts w:ascii="Consolas" w:hAnsi="Consolas"/>
          <w:color w:val="D97706"/>
          <w:sz w:val="19"/>
        </w:rPr>
        <w:t xml:space="preserve"> EMA_50 </w:t>
      </w:r>
      <w:r>
        <w:t xml:space="preserve"> (655.06).</w:t>
      </w:r>
    </w:p>
    <w:p>
      <w:pPr>
        <w:pStyle w:val="ListBullet"/>
        <w:spacing w:before="0" w:after="60"/>
      </w:pPr>
      <w:r>
        <w:rPr>
          <w:b/>
        </w:rPr>
        <w:t>Động lượng &amp; Dao động:</w:t>
      </w:r>
      <w:r>
        <w:t xml:space="preserve"> RSI (14) = </w:t>
      </w:r>
      <w:r>
        <w:rPr>
          <w:b/>
        </w:rPr>
        <w:t>`69.78`</w:t>
      </w:r>
      <w:r>
        <w:t xml:space="preserve"> | ATR (14) = </w:t>
      </w:r>
      <w:r>
        <w:rPr>
          <w:b/>
        </w:rPr>
        <w:t>`4.83`</w:t>
      </w:r>
      <w:r>
        <w:t xml:space="preserve"> cents | Volatility = </w:t>
      </w:r>
      <w:r>
        <w:rPr>
          <w:b/>
        </w:rPr>
        <w:t>`10.25 cents`</w:t>
      </w:r>
      <w:r>
        <w:t>.</w:t>
      </w:r>
    </w:p>
    <w:p>
      <w:pPr>
        <w:pStyle w:val="ListBullet"/>
        <w:spacing w:before="0" w:after="60"/>
      </w:pPr>
      <w:r>
        <w:rPr>
          <w:b/>
        </w:rPr>
        <w:t>Vùng cản Pivot:</w:t>
      </w:r>
      <w:r>
        <w:t xml:space="preserve"> Hỗ trợ S1: </w:t>
      </w:r>
      <w:r>
        <w:rPr>
          <w:b/>
        </w:rPr>
        <w:t>`667.25`</w:t>
      </w:r>
      <w:r>
        <w:t xml:space="preserve"> | S2: </w:t>
      </w:r>
      <w:r>
        <w:rPr>
          <w:b/>
        </w:rPr>
        <w:t>`626.75`</w:t>
      </w:r>
      <w:r>
        <w:t xml:space="preserve"> || Kháng cự R1: </w:t>
      </w:r>
      <w:r>
        <w:rPr>
          <w:b/>
        </w:rPr>
        <w:t>`678.00`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`660.98 - 655.06 cents (Canh bán hồi kỹ thuật H1)`</w:t>
      </w:r>
      <w:r>
        <w:t xml:space="preserve"> | SL: </w:t>
      </w:r>
      <w:r>
        <w:rPr>
          <w:b/>
        </w:rPr>
        <w:t>`718.50 cents (Trên kháng cự R2 + 1.5x ATR)`</w:t>
      </w:r>
      <w:r>
        <w:t xml:space="preserve"> | TP: </w:t>
      </w:r>
      <w:r>
        <w:rPr>
          <w:rFonts w:ascii="Consolas" w:hAnsi="Consolas"/>
          <w:color w:val="D97706"/>
          <w:sz w:val="19"/>
        </w:rPr>
        <w:t xml:space="preserve"> 667.25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`665.25 - 667.25 cents`</w:t>
      </w:r>
      <w:r>
        <w:t xml:space="preserve"> | SL: </w:t>
      </w:r>
      <w:r>
        <w:rPr>
          <w:b/>
        </w:rPr>
        <w:t>`621.92 cents`</w:t>
      </w:r>
      <w:r>
        <w:t xml:space="preserve"> | TP: </w:t>
      </w:r>
      <w:r>
        <w:rPr>
          <w:b/>
        </w:rPr>
        <w:t>`678.00 cents (Đón sóng hồi trung hạn ~14.5 giá)`</w:t>
      </w:r>
      <w:r>
        <w:t>.</w:t>
      </w:r>
    </w:p>
    <w:p>
      <w:pPr>
        <w:pStyle w:val="ListBullet"/>
        <w:spacing w:before="0" w:after="60"/>
      </w:pPr>
      <w:r>
        <w:t>*</w:t>
      </w:r>
      <w:r>
        <w:rPr>
          <w:b/>
          <w:color w:val="B91C1C"/>
        </w:rPr>
        <w:t>Short</w:t>
      </w:r>
      <w:r>
        <w:t xml:space="preserve">:* Entry: </w:t>
      </w:r>
      <w:r>
        <w:rPr>
          <w:b/>
        </w:rPr>
        <w:t>`678.00 - 680.00 cents`</w:t>
      </w:r>
      <w:r>
        <w:t xml:space="preserve"> | SL: </w:t>
      </w:r>
      <w:r>
        <w:rPr>
          <w:b/>
        </w:rPr>
        <w:t>`682.83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`625.87 - 644.50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