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`98.45` (-5.63%)</w:t>
      </w:r>
      <w:r>
        <w:t xml:space="preserve"> | DXY: </w:t>
      </w:r>
      <w:r>
        <w:rPr>
          <w:b/>
        </w:rPr>
        <w:t>`100.97` (+0.00%)</w:t>
      </w:r>
      <w:r>
        <w:t xml:space="preserve"> | Lúa mì CBOT: </w:t>
      </w:r>
      <w:r>
        <w:rPr>
          <w:b/>
        </w:rPr>
        <w:t>`700.50` (-0.35%)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525.93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(523.42 &lt; 525.62)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701.52 (+1.02)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(697.29 &lt; 701.37)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521.75 - 523.25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497.69 - 510.25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697.29 - 701.37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704.50 - 706.50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665.15 - 683.50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526.25 cents | </w:t>
      </w:r>
      <w:r>
        <w:rPr>
          <w:b/>
        </w:rPr>
        <w:t>Dự báo Chốt Phiên:</w:t>
      </w:r>
      <w:r>
        <w:t xml:space="preserve"> </w:t>
      </w:r>
      <w:r>
        <w:rPr>
          <w:b/>
        </w:rPr>
        <w:t>`525.93 cents`</w:t>
      </w:r>
      <w:r>
        <w:t xml:space="preserve"> (-0.32).</w:t>
      </w:r>
    </w:p>
    <w:p>
      <w:pPr>
        <w:pStyle w:val="ListBullet"/>
        <w:spacing w:before="0" w:after="60"/>
      </w:pPr>
      <w:r>
        <w:rPr>
          <w:b/>
        </w:rPr>
        <w:t>Thanh khoản phiên chốt:</w:t>
      </w:r>
      <w:r>
        <w:t xml:space="preserve"> Volume: </w:t>
      </w:r>
      <w:r>
        <w:rPr>
          <w:b/>
        </w:rPr>
        <w:t>`18,732`</w:t>
      </w:r>
      <w:r>
        <w:t xml:space="preserve"> (Chênh lệch: </w:t>
      </w:r>
      <w:r>
        <w:rPr>
          <w:b/>
        </w:rPr>
        <w:t>`-203,738`</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(523.42) &lt; </w:t>
      </w:r>
      <w:r>
        <w:rPr>
          <w:rFonts w:ascii="Consolas" w:hAnsi="Consolas"/>
          <w:color w:val="D97706"/>
          <w:sz w:val="19"/>
        </w:rPr>
        <w:t xml:space="preserve"> EMA_50 </w:t>
      </w:r>
      <w:r>
        <w:t xml:space="preserve"> (525.62).</w:t>
      </w:r>
    </w:p>
    <w:p>
      <w:pPr>
        <w:pStyle w:val="ListBullet"/>
        <w:spacing w:before="0" w:after="60"/>
      </w:pPr>
      <w:r>
        <w:rPr>
          <w:b/>
        </w:rPr>
        <w:t>Động lượng &amp; Dao động:</w:t>
      </w:r>
      <w:r>
        <w:t xml:space="preserve"> RSI (14) = </w:t>
      </w:r>
      <w:r>
        <w:rPr>
          <w:b/>
        </w:rPr>
        <w:t>`57.24`</w:t>
      </w:r>
      <w:r>
        <w:t xml:space="preserve"> | ATR (14) = </w:t>
      </w:r>
      <w:r>
        <w:rPr>
          <w:b/>
        </w:rPr>
        <w:t>`3.14`</w:t>
      </w:r>
      <w:r>
        <w:t xml:space="preserve"> cents | Volatility = </w:t>
      </w:r>
      <w:r>
        <w:rPr>
          <w:b/>
        </w:rPr>
        <w:t>`2.75 cents`</w:t>
      </w:r>
      <w:r>
        <w:t>.</w:t>
      </w:r>
    </w:p>
    <w:p>
      <w:pPr>
        <w:pStyle w:val="ListBullet"/>
        <w:spacing w:before="0" w:after="60"/>
      </w:pPr>
      <w:r>
        <w:rPr>
          <w:b/>
        </w:rPr>
        <w:t>Vùng cản Pivot:</w:t>
      </w:r>
      <w:r>
        <w:t xml:space="preserve"> Hỗ trợ S1: </w:t>
      </w:r>
      <w:r>
        <w:rPr>
          <w:b/>
        </w:rPr>
        <w:t>`523.25`</w:t>
      </w:r>
      <w:r>
        <w:t xml:space="preserve"> | S2: </w:t>
      </w:r>
      <w:r>
        <w:rPr>
          <w:b/>
        </w:rPr>
        <w:t>`510.25`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`523.25 - 523.42 cents (Canh mua vùng hỗ trợ)`</w:t>
      </w:r>
      <w:r>
        <w:t xml:space="preserve"> | SL: </w:t>
      </w:r>
      <w:r>
        <w:rPr>
          <w:b/>
        </w:rPr>
        <w:t>`505.54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`521.75 - 523.25 cents`</w:t>
      </w:r>
      <w:r>
        <w:t xml:space="preserve"> | SL: </w:t>
      </w:r>
      <w:r>
        <w:rPr>
          <w:b/>
        </w:rPr>
        <w:t>`507.11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`532.14 cents`</w:t>
      </w:r>
      <w:r>
        <w:t xml:space="preserve"> | TP: </w:t>
      </w:r>
      <w:r>
        <w:rPr>
          <w:b/>
        </w:rPr>
        <w:t>`511.25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`497.69 - 510.25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700.50 cents | </w:t>
      </w:r>
      <w:r>
        <w:rPr>
          <w:b/>
        </w:rPr>
        <w:t>Dự báo Chốt Phiên:</w:t>
      </w:r>
      <w:r>
        <w:t xml:space="preserve"> </w:t>
      </w:r>
      <w:r>
        <w:rPr>
          <w:b/>
        </w:rPr>
        <w:t>`701.52 cents`</w:t>
      </w:r>
      <w:r>
        <w:t xml:space="preserve"> (+1.02).</w:t>
      </w:r>
    </w:p>
    <w:p>
      <w:pPr>
        <w:pStyle w:val="ListBullet"/>
        <w:spacing w:before="0" w:after="60"/>
      </w:pPr>
      <w:r>
        <w:rPr>
          <w:b/>
        </w:rPr>
        <w:t>Thanh khoản phiên chốt:</w:t>
      </w:r>
      <w:r>
        <w:t xml:space="preserve"> Volume: </w:t>
      </w:r>
      <w:r>
        <w:rPr>
          <w:b/>
        </w:rPr>
        <w:t>`3,055`</w:t>
      </w:r>
      <w:r>
        <w:t xml:space="preserve"> (Chênh lệch: </w:t>
      </w:r>
      <w:r>
        <w:rPr>
          <w:b/>
        </w:rPr>
        <w:t>`-56,538`</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(697.29) &lt; </w:t>
      </w:r>
      <w:r>
        <w:rPr>
          <w:rFonts w:ascii="Consolas" w:hAnsi="Consolas"/>
          <w:color w:val="D97706"/>
          <w:sz w:val="19"/>
        </w:rPr>
        <w:t xml:space="preserve"> EMA_50 </w:t>
      </w:r>
      <w:r>
        <w:t xml:space="preserve"> (701.37).</w:t>
      </w:r>
    </w:p>
    <w:p>
      <w:pPr>
        <w:pStyle w:val="ListBullet"/>
        <w:spacing w:before="0" w:after="60"/>
      </w:pPr>
      <w:r>
        <w:rPr>
          <w:b/>
        </w:rPr>
        <w:t>Động lượng &amp; Dao động:</w:t>
      </w:r>
      <w:r>
        <w:t xml:space="preserve"> RSI (14) = </w:t>
      </w:r>
      <w:r>
        <w:rPr>
          <w:b/>
        </w:rPr>
        <w:t>`55.17`</w:t>
      </w:r>
      <w:r>
        <w:t xml:space="preserve"> | ATR (14) = </w:t>
      </w:r>
      <w:r>
        <w:rPr>
          <w:b/>
        </w:rPr>
        <w:t>`4.59`</w:t>
      </w:r>
      <w:r>
        <w:t xml:space="preserve"> cents | Volatility = </w:t>
      </w:r>
      <w:r>
        <w:rPr>
          <w:b/>
        </w:rPr>
        <w:t>`2.75 cents`</w:t>
      </w:r>
      <w:r>
        <w:t>.</w:t>
      </w:r>
    </w:p>
    <w:p>
      <w:pPr>
        <w:pStyle w:val="ListBullet"/>
        <w:spacing w:before="0" w:after="60"/>
      </w:pPr>
      <w:r>
        <w:rPr>
          <w:b/>
        </w:rPr>
        <w:t>Vùng cản Pivot:</w:t>
      </w:r>
      <w:r>
        <w:t xml:space="preserve"> Hỗ trợ S1: </w:t>
      </w:r>
      <w:r>
        <w:rPr>
          <w:b/>
        </w:rPr>
        <w:t>`696.50`</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`697.29 - 701.37 cents (Canh bán hồi kỹ thuật H1)`</w:t>
      </w:r>
      <w:r>
        <w:t xml:space="preserve"> | SL: </w:t>
      </w:r>
      <w:r>
        <w:rPr>
          <w:b/>
        </w:rPr>
        <w:t>`801.88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`678.91 cents`</w:t>
      </w:r>
      <w:r>
        <w:t xml:space="preserve"> | TP: </w:t>
      </w:r>
      <w:r>
        <w:rPr>
          <w:b/>
        </w:rPr>
        <w:t>`704.50 cents (Đón sóng hồi trung hạn ~14.5 giá)`</w:t>
      </w:r>
      <w:r>
        <w:t>.</w:t>
      </w:r>
    </w:p>
    <w:p>
      <w:pPr>
        <w:pStyle w:val="ListBullet"/>
        <w:spacing w:before="0" w:after="60"/>
      </w:pPr>
      <w:r>
        <w:t>*</w:t>
      </w:r>
      <w:r>
        <w:rPr>
          <w:b/>
          <w:color w:val="B91C1C"/>
        </w:rPr>
        <w:t>Short</w:t>
      </w:r>
      <w:r>
        <w:t xml:space="preserve">:* Entry: </w:t>
      </w:r>
      <w:r>
        <w:rPr>
          <w:b/>
        </w:rPr>
        <w:t>`704.50 - 706.50 cents`</w:t>
      </w:r>
      <w:r>
        <w:t xml:space="preserve"> | SL: </w:t>
      </w:r>
      <w:r>
        <w:rPr>
          <w:b/>
        </w:rPr>
        <w:t>`709.09 cents`</w:t>
      </w:r>
      <w:r>
        <w:t xml:space="preserve"> | TP: </w:t>
      </w:r>
      <w:r>
        <w:rPr>
          <w:b/>
        </w:rPr>
        <w:t>`683.50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`665.15 - 683.50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