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105.30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`105.30` (+5.09%)</w:t>
      </w:r>
      <w:r>
        <w:t xml:space="preserve"> | DXY: </w:t>
      </w:r>
      <w:r>
        <w:rPr>
          <w:b/>
        </w:rPr>
        <w:t>`102.13` (-0.10%)</w:t>
      </w:r>
      <w:r>
        <w:t xml:space="preserve"> | Lúa mì CBOT: </w:t>
      </w:r>
      <w:r>
        <w:rPr>
          <w:b/>
        </w:rPr>
        <w:t>`690.00` (+0.47%)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500.08 (+1.58)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(501.86 &lt; 502.40)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690.98 (+0.98)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(688.92 &lt; 691.02)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496.00 - 501.86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494.50 - 496.00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500.25 - 501.75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688.92 - 691.02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657.22 - 670.75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498.50 cents | </w:t>
      </w:r>
      <w:r>
        <w:rPr>
          <w:b/>
        </w:rPr>
        <w:t>Dự báo Chốt Phiên:</w:t>
      </w:r>
      <w:r>
        <w:t xml:space="preserve"> </w:t>
      </w:r>
      <w:r>
        <w:rPr>
          <w:b/>
        </w:rPr>
        <w:t>`500.08 cents`</w:t>
      </w:r>
      <w:r>
        <w:t xml:space="preserve"> (+1.58).</w:t>
      </w:r>
    </w:p>
    <w:p>
      <w:pPr>
        <w:pStyle w:val="ListBullet"/>
        <w:spacing w:before="0" w:after="60"/>
      </w:pPr>
      <w:r>
        <w:rPr>
          <w:b/>
        </w:rPr>
        <w:t>Thanh khoản phiên chốt:</w:t>
      </w:r>
      <w:r>
        <w:t xml:space="preserve"> Volume: </w:t>
      </w:r>
      <w:r>
        <w:rPr>
          <w:b/>
        </w:rPr>
        <w:t>`95,762`</w:t>
      </w:r>
      <w:r>
        <w:t xml:space="preserve"> (Chênh lệch: </w:t>
      </w:r>
      <w:r>
        <w:rPr>
          <w:b/>
        </w:rPr>
        <w:t>`-98,544`</w:t>
      </w:r>
      <w:r>
        <w:t xml:space="preserve">) | OI: </w:t>
      </w:r>
      <w:r>
        <w:rPr>
          <w:b/>
        </w:rPr>
        <w:t>`894,150`</w:t>
      </w:r>
      <w:r>
        <w:t xml:space="preserve"> (Chênh lệch: </w:t>
      </w:r>
      <w:r>
        <w:rPr>
          <w:b/>
        </w:rPr>
        <w:t>`-89`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(501.86) &lt; </w:t>
      </w:r>
      <w:r>
        <w:rPr>
          <w:rFonts w:ascii="Consolas" w:hAnsi="Consolas"/>
          <w:color w:val="D97706"/>
          <w:sz w:val="19"/>
        </w:rPr>
        <w:t xml:space="preserve"> EMA_50 </w:t>
      </w:r>
      <w:r>
        <w:t xml:space="preserve"> (502.40).</w:t>
      </w:r>
    </w:p>
    <w:p>
      <w:pPr>
        <w:pStyle w:val="ListBullet"/>
        <w:spacing w:before="0" w:after="60"/>
      </w:pPr>
      <w:r>
        <w:rPr>
          <w:b/>
        </w:rPr>
        <w:t>Động lượng &amp; Dao động:</w:t>
      </w:r>
      <w:r>
        <w:t xml:space="preserve"> RSI (14) = </w:t>
      </w:r>
      <w:r>
        <w:rPr>
          <w:b/>
        </w:rPr>
        <w:t>`32.73`</w:t>
      </w:r>
      <w:r>
        <w:t xml:space="preserve"> | ATR (14) = </w:t>
      </w:r>
      <w:r>
        <w:rPr>
          <w:b/>
        </w:rPr>
        <w:t>`2.07`</w:t>
      </w:r>
      <w:r>
        <w:t xml:space="preserve"> cents | Volatility = </w:t>
      </w:r>
      <w:r>
        <w:rPr>
          <w:b/>
        </w:rPr>
        <w:t>`2.50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`496.00 - 501.86 cents (Canh mua vùng hỗ trợ)`</w:t>
      </w:r>
      <w:r>
        <w:t xml:space="preserve"> | SL: </w:t>
      </w:r>
      <w:r>
        <w:rPr>
          <w:b/>
        </w:rPr>
        <w:t>`491.90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`494.50 - 496.00 cents`</w:t>
      </w:r>
      <w:r>
        <w:t xml:space="preserve"> | SL: </w:t>
      </w:r>
      <w:r>
        <w:rPr>
          <w:b/>
        </w:rPr>
        <w:t>`492.93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`500.25 - 501.75 cents`</w:t>
      </w:r>
      <w:r>
        <w:t xml:space="preserve"> | SL: </w:t>
      </w:r>
      <w:r>
        <w:rPr>
          <w:b/>
        </w:rPr>
        <w:t>`502.32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`486.73 - 495.00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690.00 cents | </w:t>
      </w:r>
      <w:r>
        <w:rPr>
          <w:b/>
        </w:rPr>
        <w:t>Dự báo Chốt Phiên:</w:t>
      </w:r>
      <w:r>
        <w:t xml:space="preserve"> </w:t>
      </w:r>
      <w:r>
        <w:rPr>
          <w:b/>
        </w:rPr>
        <w:t>`690.98 cents`</w:t>
      </w:r>
      <w:r>
        <w:t xml:space="preserve"> (+0.98).</w:t>
      </w:r>
    </w:p>
    <w:p>
      <w:pPr>
        <w:pStyle w:val="ListBullet"/>
        <w:spacing w:before="0" w:after="60"/>
      </w:pPr>
      <w:r>
        <w:rPr>
          <w:b/>
        </w:rPr>
        <w:t>Thanh khoản phiên chốt:</w:t>
      </w:r>
      <w:r>
        <w:t xml:space="preserve"> Volume: </w:t>
      </w:r>
      <w:r>
        <w:rPr>
          <w:b/>
        </w:rPr>
        <w:t>`30,487`</w:t>
      </w:r>
      <w:r>
        <w:t xml:space="preserve"> (Chênh lệch: </w:t>
      </w:r>
      <w:r>
        <w:rPr>
          <w:b/>
        </w:rPr>
        <w:t>`-33,857`</w:t>
      </w:r>
      <w:r>
        <w:t xml:space="preserve">) | OI: </w:t>
      </w:r>
      <w:r>
        <w:rPr>
          <w:b/>
        </w:rPr>
        <w:t>`254,554`</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(688.92) &lt; </w:t>
      </w:r>
      <w:r>
        <w:rPr>
          <w:rFonts w:ascii="Consolas" w:hAnsi="Consolas"/>
          <w:color w:val="D97706"/>
          <w:sz w:val="19"/>
        </w:rPr>
        <w:t xml:space="preserve"> EMA_50 </w:t>
      </w:r>
      <w:r>
        <w:t xml:space="preserve"> (691.02).</w:t>
      </w:r>
    </w:p>
    <w:p>
      <w:pPr>
        <w:pStyle w:val="ListBullet"/>
        <w:spacing w:before="0" w:after="60"/>
      </w:pPr>
      <w:r>
        <w:rPr>
          <w:b/>
        </w:rPr>
        <w:t>Động lượng &amp; Dao động:</w:t>
      </w:r>
      <w:r>
        <w:t xml:space="preserve"> RSI (14) = </w:t>
      </w:r>
      <w:r>
        <w:rPr>
          <w:b/>
        </w:rPr>
        <w:t>`50.95`</w:t>
      </w:r>
      <w:r>
        <w:t xml:space="preserve"> | ATR (14) = </w:t>
      </w:r>
      <w:r>
        <w:rPr>
          <w:b/>
        </w:rPr>
        <w:t>`3.38`</w:t>
      </w:r>
      <w:r>
        <w:t xml:space="preserve"> cents | Volatility = </w:t>
      </w:r>
      <w:r>
        <w:rPr>
          <w:b/>
        </w:rPr>
        <w:t>`4.75 cents`</w:t>
      </w:r>
      <w:r>
        <w:t>.</w:t>
      </w:r>
    </w:p>
    <w:p>
      <w:pPr>
        <w:pStyle w:val="ListBullet"/>
        <w:spacing w:before="0" w:after="60"/>
      </w:pPr>
      <w:r>
        <w:rPr>
          <w:b/>
        </w:rPr>
        <w:t>Vùng cản Pivot:</w:t>
      </w:r>
      <w:r>
        <w:t xml:space="preserve"> Hỗ trợ S1: </w:t>
      </w:r>
      <w:r>
        <w:rPr>
          <w:b/>
        </w:rPr>
        <w:t>`686.50`</w:t>
      </w:r>
      <w:r>
        <w:t xml:space="preserve"> | S2: </w:t>
      </w:r>
      <w:r>
        <w:rPr>
          <w:b/>
        </w:rPr>
        <w:t>`670.75`</w:t>
      </w:r>
      <w:r>
        <w:t xml:space="preserve"> || Kháng cự R1: </w:t>
      </w:r>
      <w:r>
        <w:rPr>
          <w:b/>
        </w:rPr>
        <w:t>`693.50`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`688.92 - 691.02 cents (Canh bán hồi kỹ thuật H1)`</w:t>
      </w:r>
      <w:r>
        <w:t xml:space="preserve"> | SL: </w:t>
      </w:r>
      <w:r>
        <w:rPr>
          <w:b/>
        </w:rPr>
        <w:t>`779.82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`667.37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`696.88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`657.22 - 670.75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