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10:19 ICT ngày 05/09/2026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`95.83` (+0.33%)</w:t>
      </w:r>
      <w:r>
        <w:t xml:space="preserve"> | DXY: </w:t>
      </w:r>
      <w:r>
        <w:rPr>
          <w:b/>
        </w:rPr>
        <w:t>`99.16` (+0.16%)</w:t>
      </w:r>
      <w:r>
        <w:t xml:space="preserve"> | Lúa mì CBOT: </w:t>
      </w:r>
      <w:r>
        <w:rPr>
          <w:b/>
        </w:rPr>
        <w:t>`732.75` (-0.44%)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10:19 ICT ngày 05/09/2026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05/09/2026)</w:t>
      </w:r>
    </w:p>
    <w:p>
      <w:pPr>
        <w:spacing w:before="80" w:after="240" w:line="276" w:lineRule="auto"/>
      </w:pPr>
      <w:r>
        <w:rPr>
          <w:i/>
          <w:color w:val="5C768D"/>
          <w:sz w:val="19"/>
        </w:rPr>
        <w:t>Thời gian đóng cửa phiên giao dịch được đồng bộ chính xác vào lúc 1:20 AM ICT ngày 05/09/2026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538.34 (+1.59)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736.17 (+3.42)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(746.32 &lt; 754.19)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746.32 - 754.19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`538.34 cents`</w:t>
      </w:r>
      <w:r>
        <w:t xml:space="preserve"> (+1.59).</w:t>
      </w:r>
    </w:p>
    <w:p>
      <w:pPr>
        <w:pStyle w:val="ListBullet"/>
        <w:spacing w:before="0" w:after="60"/>
      </w:pPr>
      <w:r>
        <w:rPr>
          <w:b/>
        </w:rPr>
        <w:t>Thanh khoản phiên chốt:</w:t>
      </w:r>
      <w:r>
        <w:t xml:space="preserve"> Volume: </w:t>
      </w:r>
      <w:r>
        <w:rPr>
          <w:b/>
        </w:rPr>
        <w:t>`191,255`</w:t>
      </w:r>
      <w:r>
        <w:t xml:space="preserve"> (Chênh lệch: </w:t>
      </w:r>
      <w:r>
        <w:rPr>
          <w:b/>
        </w:rPr>
        <w:t>`-198,093`</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732.75 cents | </w:t>
      </w:r>
      <w:r>
        <w:rPr>
          <w:b/>
        </w:rPr>
        <w:t>Dự báo Chốt Phiên:</w:t>
      </w:r>
      <w:r>
        <w:t xml:space="preserve"> </w:t>
      </w:r>
      <w:r>
        <w:rPr>
          <w:b/>
        </w:rPr>
        <w:t>`736.17 cents`</w:t>
      </w:r>
      <w:r>
        <w:t xml:space="preserve"> (+3.42).</w:t>
      </w:r>
    </w:p>
    <w:p>
      <w:pPr>
        <w:pStyle w:val="ListBullet"/>
        <w:spacing w:before="0" w:after="60"/>
      </w:pPr>
      <w:r>
        <w:rPr>
          <w:b/>
        </w:rPr>
        <w:t>Thanh khoản phiên chốt:</w:t>
      </w:r>
      <w:r>
        <w:t xml:space="preserve"> Volume: </w:t>
      </w:r>
      <w:r>
        <w:rPr>
          <w:b/>
        </w:rPr>
        <w:t>`100,203`</w:t>
      </w:r>
      <w:r>
        <w:t xml:space="preserve"> (Chênh lệch: </w:t>
      </w:r>
      <w:r>
        <w:rPr>
          <w:b/>
        </w:rPr>
        <w:t>`-60,355`</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(746.32) &lt; </w:t>
      </w:r>
      <w:r>
        <w:rPr>
          <w:rFonts w:ascii="Consolas" w:hAnsi="Consolas"/>
          <w:color w:val="D97706"/>
          <w:sz w:val="19"/>
        </w:rPr>
        <w:t xml:space="preserve"> EMA_50 </w:t>
      </w:r>
      <w:r>
        <w:t xml:space="preserve"> (754.19).</w:t>
      </w:r>
    </w:p>
    <w:p>
      <w:pPr>
        <w:pStyle w:val="ListBullet"/>
        <w:spacing w:before="0" w:after="60"/>
      </w:pPr>
      <w:r>
        <w:rPr>
          <w:b/>
        </w:rPr>
        <w:t>Động lượng &amp; Dao động:</w:t>
      </w:r>
      <w:r>
        <w:t xml:space="preserve"> RSI (14) = </w:t>
      </w:r>
      <w:r>
        <w:rPr>
          <w:b/>
        </w:rPr>
        <w:t>`32.43`</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`746.32 - 754.19 cents (Canh bán hồi kỹ thuật H1)`</w:t>
      </w:r>
      <w:r>
        <w:t xml:space="preserve"> | SL: </w:t>
      </w:r>
      <w:r>
        <w:rPr>
          <w:b/>
        </w:rPr>
        <w:t>`804.45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