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20:19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`86.80` (-2.45%)</w:t>
      </w:r>
      <w:r>
        <w:t xml:space="preserve"> | DXY: </w:t>
      </w:r>
      <w:r>
        <w:rPr>
          <w:b/>
        </w:rPr>
        <w:t>`99.83` (-0.18%)</w:t>
      </w:r>
      <w:r>
        <w:t xml:space="preserve"> | Lúa mì CBOT: </w:t>
      </w:r>
      <w:r>
        <w:rPr>
          <w:b/>
        </w:rPr>
        <w:t>`654.50`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20:19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454.85 (+1.60)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(451.41 &gt; 446.78)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657.02 (+2.52)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(651.54 &gt; 647.66)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451.50 - 451.41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439.88 - 447.50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651.54 - 647.66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657.75 - 659.75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612.54 - 628.50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453.25 cents | </w:t>
      </w:r>
      <w:r>
        <w:rPr>
          <w:b/>
        </w:rPr>
        <w:t>Dự báo Chốt Phiên:</w:t>
      </w:r>
      <w:r>
        <w:t xml:space="preserve"> </w:t>
      </w:r>
      <w:r>
        <w:rPr>
          <w:b/>
        </w:rPr>
        <w:t>`454.85 cents`</w:t>
      </w:r>
      <w:r>
        <w:t xml:space="preserve"> (+1.60).</w:t>
      </w:r>
    </w:p>
    <w:p>
      <w:pPr>
        <w:pStyle w:val="ListBullet"/>
        <w:spacing w:before="0" w:after="60"/>
      </w:pPr>
      <w:r>
        <w:rPr>
          <w:b/>
        </w:rPr>
        <w:t>Thanh khoản phiên chốt:</w:t>
      </w:r>
      <w:r>
        <w:t xml:space="preserve"> Volume: </w:t>
      </w:r>
      <w:r>
        <w:rPr>
          <w:b/>
        </w:rPr>
        <w:t>`12,556`</w:t>
      </w:r>
      <w:r>
        <w:t xml:space="preserve"> (Chênh lệch: </w:t>
      </w:r>
      <w:r>
        <w:rPr>
          <w:b/>
        </w:rPr>
        <w:t>`-197,602`</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(451.41) &gt; </w:t>
      </w:r>
      <w:r>
        <w:rPr>
          <w:rFonts w:ascii="Consolas" w:hAnsi="Consolas"/>
          <w:color w:val="D97706"/>
          <w:sz w:val="19"/>
        </w:rPr>
        <w:t xml:space="preserve"> EMA_50 </w:t>
      </w:r>
      <w:r>
        <w:t xml:space="preserve"> (446.78).</w:t>
      </w:r>
    </w:p>
    <w:p>
      <w:pPr>
        <w:pStyle w:val="ListBullet"/>
        <w:spacing w:before="0" w:after="60"/>
      </w:pPr>
      <w:r>
        <w:rPr>
          <w:b/>
        </w:rPr>
        <w:t>Động lượng &amp; Dao động:</w:t>
      </w:r>
      <w:r>
        <w:t xml:space="preserve"> RSI (14) = </w:t>
      </w:r>
      <w:r>
        <w:rPr>
          <w:b/>
        </w:rPr>
        <w:t>`61.92`</w:t>
      </w:r>
      <w:r>
        <w:t xml:space="preserve"> | ATR (14) = </w:t>
      </w:r>
      <w:r>
        <w:rPr>
          <w:b/>
        </w:rPr>
        <w:t>`1.76`</w:t>
      </w:r>
      <w:r>
        <w:t xml:space="preserve"> cents | Volatility = </w:t>
      </w:r>
      <w:r>
        <w:rPr>
          <w:b/>
        </w:rPr>
        <w:t>`1.75 cents`</w:t>
      </w:r>
      <w:r>
        <w:t>.</w:t>
      </w:r>
    </w:p>
    <w:p>
      <w:pPr>
        <w:pStyle w:val="ListBullet"/>
        <w:spacing w:before="0" w:after="60"/>
      </w:pPr>
      <w:r>
        <w:rPr>
          <w:b/>
        </w:rPr>
        <w:t>Vùng cản Pivot:</w:t>
      </w:r>
      <w:r>
        <w:t xml:space="preserve"> Hỗ trợ S1: </w:t>
      </w:r>
      <w:r>
        <w:rPr>
          <w:b/>
        </w:rPr>
        <w:t>`451.50`</w:t>
      </w:r>
      <w:r>
        <w:t xml:space="preserve"> | S2: </w:t>
      </w:r>
      <w:r>
        <w:rPr>
          <w:b/>
        </w:rPr>
        <w:t>`426.75`</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`451.50 - 451.41 cents (Canh mua vùng hỗ trợ)`</w:t>
      </w:r>
      <w:r>
        <w:t xml:space="preserve"> | SL: </w:t>
      </w:r>
      <w:r>
        <w:rPr>
          <w:b/>
        </w:rPr>
        <w:t>`424.11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`424.99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`456.76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`439.88 - 447.50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654.50 cents | </w:t>
      </w:r>
      <w:r>
        <w:rPr>
          <w:b/>
        </w:rPr>
        <w:t>Dự báo Chốt Phiên:</w:t>
      </w:r>
      <w:r>
        <w:t xml:space="preserve"> </w:t>
      </w:r>
      <w:r>
        <w:rPr>
          <w:b/>
        </w:rPr>
        <w:t>`657.02 cents`</w:t>
      </w:r>
      <w:r>
        <w:t xml:space="preserve"> (+2.52).</w:t>
      </w:r>
    </w:p>
    <w:p>
      <w:pPr>
        <w:pStyle w:val="ListBullet"/>
        <w:spacing w:before="0" w:after="60"/>
      </w:pPr>
      <w:r>
        <w:rPr>
          <w:b/>
        </w:rPr>
        <w:t>Thanh khoản phiên chốt:</w:t>
      </w:r>
      <w:r>
        <w:t xml:space="preserve"> Volume: </w:t>
      </w:r>
      <w:r>
        <w:rPr>
          <w:b/>
        </w:rPr>
        <w:t>`13,925`</w:t>
      </w:r>
      <w:r>
        <w:t xml:space="preserve"> (Chênh lệch: </w:t>
      </w:r>
      <w:r>
        <w:rPr>
          <w:b/>
        </w:rPr>
        <w:t>`-110,711`</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(651.54) &gt; </w:t>
      </w:r>
      <w:r>
        <w:rPr>
          <w:rFonts w:ascii="Consolas" w:hAnsi="Consolas"/>
          <w:color w:val="D97706"/>
          <w:sz w:val="19"/>
        </w:rPr>
        <w:t xml:space="preserve"> EMA_50 </w:t>
      </w:r>
      <w:r>
        <w:t xml:space="preserve"> (647.66).</w:t>
      </w:r>
    </w:p>
    <w:p>
      <w:pPr>
        <w:pStyle w:val="ListBullet"/>
        <w:spacing w:before="0" w:after="60"/>
      </w:pPr>
      <w:r>
        <w:rPr>
          <w:b/>
        </w:rPr>
        <w:t>Động lượng &amp; Dao động:</w:t>
      </w:r>
      <w:r>
        <w:t xml:space="preserve"> RSI (14) = </w:t>
      </w:r>
      <w:r>
        <w:rPr>
          <w:b/>
        </w:rPr>
        <w:t>`57.62`</w:t>
      </w:r>
      <w:r>
        <w:t xml:space="preserve"> | ATR (14) = </w:t>
      </w:r>
      <w:r>
        <w:rPr>
          <w:b/>
        </w:rPr>
        <w:t>`4.10`</w:t>
      </w:r>
      <w:r>
        <w:t xml:space="preserve"> cents | Volatility = </w:t>
      </w:r>
      <w:r>
        <w:rPr>
          <w:b/>
        </w:rPr>
        <w:t>`3.25 cents`</w:t>
      </w:r>
      <w:r>
        <w:t>.</w:t>
      </w:r>
    </w:p>
    <w:p>
      <w:pPr>
        <w:pStyle w:val="ListBullet"/>
        <w:spacing w:before="0" w:after="60"/>
      </w:pPr>
      <w:r>
        <w:rPr>
          <w:b/>
        </w:rPr>
        <w:t>Vùng cản Pivot:</w:t>
      </w:r>
      <w:r>
        <w:t xml:space="preserve"> Hỗ trợ S1: </w:t>
      </w:r>
      <w:r>
        <w:rPr>
          <w:b/>
        </w:rPr>
        <w:t>`650.50`</w:t>
      </w:r>
      <w:r>
        <w:t xml:space="preserve"> | S2: </w:t>
      </w:r>
      <w:r>
        <w:rPr>
          <w:b/>
        </w:rPr>
        <w:t>`614.00`</w:t>
      </w:r>
      <w:r>
        <w:t xml:space="preserve"> || Kháng cự R1: </w:t>
      </w:r>
      <w:r>
        <w:rPr>
          <w:b/>
        </w:rPr>
        <w:t>`657.75`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`651.54 - 647.66 cents (Canh bán hồi kỹ thuật H1)`</w:t>
      </w:r>
      <w:r>
        <w:t xml:space="preserve"> | SL: </w:t>
      </w:r>
      <w:r>
        <w:rPr>
          <w:b/>
        </w:rPr>
        <w:t>`717.40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`609.90 cents`</w:t>
      </w:r>
      <w:r>
        <w:t xml:space="preserve"> | TP: </w:t>
      </w:r>
      <w:r>
        <w:rPr>
          <w:b/>
        </w:rPr>
        <w:t>`657.75 cents (Đón sóng hồi trung hạn ~14.5 giá)`</w:t>
      </w:r>
      <w:r>
        <w:t>.</w:t>
      </w:r>
    </w:p>
    <w:p>
      <w:pPr>
        <w:pStyle w:val="ListBullet"/>
        <w:spacing w:before="0" w:after="60"/>
      </w:pPr>
      <w:r>
        <w:t>*</w:t>
      </w:r>
      <w:r>
        <w:rPr>
          <w:b/>
          <w:color w:val="B91C1C"/>
        </w:rPr>
        <w:t>Short</w:t>
      </w:r>
      <w:r>
        <w:t xml:space="preserve">:* Entry: </w:t>
      </w:r>
      <w:r>
        <w:rPr>
          <w:b/>
        </w:rPr>
        <w:t>`657.75 - 659.75 cents`</w:t>
      </w:r>
      <w:r>
        <w:t xml:space="preserve"> | SL: </w:t>
      </w:r>
      <w:r>
        <w:rPr>
          <w:b/>
        </w:rPr>
        <w:t>`661.85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`612.54 - 628.50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