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Institutional-Grade Intraday Nifty Options Buying System (Complete with Seller Stress &amp; Gap Engine)</w:t>
      </w:r>
    </w:p>
    <w:p>
      <w:r>
        <w:t>This document defines the complete institutional-grade intraday Nifty options buying framework with integrated Seller Stress Classification and Gap-Day Open Auction Stress Engine. The system targets 20–50 point intraday moves by identifying forced hedging, volatility expansion, liquidity imbalance, and stress-induced cascades, including gap scenarios.</w:t>
      </w:r>
    </w:p>
    <w:p>
      <w:pPr>
        <w:pStyle w:val="Heading2"/>
      </w:pPr>
      <w:r>
        <w:t>Core Objective</w:t>
      </w:r>
    </w:p>
    <w:p>
      <w:r>
        <w:t>Target: 20–50 Nifty points intraday.</w:t>
        <w:br/>
        <w:t>Trade only during volatility expansion + dealer stress phases.</w:t>
        <w:br/>
        <w:t>Avoid passive profit-booking, repricing gaps, and volatility compression phases.</w:t>
      </w:r>
    </w:p>
    <w:p>
      <w:pPr>
        <w:pStyle w:val="Heading2"/>
      </w:pPr>
      <w:r>
        <w:t>Gamma Surface &amp; Regime Detection</w:t>
      </w:r>
    </w:p>
    <w:p>
      <w:r>
        <w:t>Dealer Gamma Exposure (GEX) determines regime.</w:t>
        <w:br/>
        <w:t>GEX &gt; 0 → Positive Gamma → Pinning → Avoid Buying.</w:t>
        <w:br/>
        <w:t>GEX &lt; 0 → Negative Gamma → Expansion → Buying Allowed.</w:t>
        <w:br/>
        <w:t>Crossing Gamma Flip Level increases breakout probability.</w:t>
      </w:r>
    </w:p>
    <w:p>
      <w:pPr>
        <w:pStyle w:val="Heading2"/>
      </w:pPr>
      <w:r>
        <w:t>Dealer Inventory Stress Model</w:t>
      </w:r>
    </w:p>
    <w:p>
      <w:r>
        <w:t>DealerDelta = Sum(OptionDelta * OI * Direction).</w:t>
        <w:br/>
        <w:t>DeltaStress = change in DealerDelta.</w:t>
        <w:br/>
        <w:t>Trade when absolute DeltaStress exceeds statistical threshold.</w:t>
      </w:r>
    </w:p>
    <w:p>
      <w:pPr>
        <w:pStyle w:val="Heading2"/>
      </w:pPr>
      <w:r>
        <w:t>Seller Stress vs Relief Classification</w:t>
      </w:r>
    </w:p>
    <w:p>
      <w:r>
        <w:t>Stress-Induced Booking: OI unwind + Delta acceleration + IV expansion + Thin depth.</w:t>
        <w:br/>
        <w:t>Passive Relief Booking: OI unwind + Flat delta + No IV expansion (Avoid).</w:t>
        <w:br/>
        <w:t>Exhaustion Phase: OI slowing + IV turning negative + Structural level (Avoid).</w:t>
        <w:br/>
        <w:t>Seller Stress Index (SSI) must exceed threshold.</w:t>
      </w:r>
    </w:p>
    <w:p>
      <w:pPr>
        <w:pStyle w:val="Heading2"/>
      </w:pPr>
      <w:r>
        <w:t>Gap-Day Open Auction Stress Engine</w:t>
      </w:r>
    </w:p>
    <w:p>
      <w:r>
        <w:t>GapSize = Absolute(Open - PreviousClose) / PreviousClose.</w:t>
        <w:br/>
        <w:t>If &gt;0.5% → Major gap.</w:t>
        <w:br/>
        <w:t>Check Overnight OI Shift.</w:t>
        <w:br/>
        <w:t>First 5-min stress test: OI unwind + Delta accel + IV expansion = Tradeable.</w:t>
        <w:br/>
        <w:t>Opening range breakout + Negative Gamma + SSI positive = Entry.</w:t>
        <w:br/>
        <w:t>Avoid if IV crushed, OI stable, depth thick, delta flat.</w:t>
      </w:r>
    </w:p>
    <w:p>
      <w:pPr>
        <w:pStyle w:val="Heading2"/>
      </w:pPr>
      <w:r>
        <w:t>Liquidity Fragility Engine</w:t>
      </w:r>
    </w:p>
    <w:p>
      <w:r>
        <w:t>Order Book Imbalance extreme + Depth &lt;50% average = Fragile book.</w:t>
        <w:br/>
        <w:t>High impact efficiency confirms breakout potential.</w:t>
      </w:r>
    </w:p>
    <w:p>
      <w:pPr>
        <w:pStyle w:val="Heading2"/>
      </w:pPr>
      <w:r>
        <w:t>Volatility State Machine</w:t>
      </w:r>
    </w:p>
    <w:p>
      <w:r>
        <w:t>Trade only during Transition to Expansion phase.</w:t>
        <w:br/>
        <w:t>Avoid Compression and Exhaustion phases.</w:t>
      </w:r>
    </w:p>
    <w:p>
      <w:pPr>
        <w:pStyle w:val="Heading2"/>
      </w:pPr>
      <w:r>
        <w:t>Structural Filters</w:t>
      </w:r>
    </w:p>
    <w:p>
      <w:r>
        <w:t>Trade near Narrow CPR (&lt;0.6%), Previous Day High/Low, Heavy OI strikes, VWAP rejection, Liquidity gaps.</w:t>
      </w:r>
    </w:p>
    <w:p>
      <w:pPr>
        <w:pStyle w:val="Heading2"/>
      </w:pPr>
      <w:r>
        <w:t>Heavyweight Confirmation</w:t>
      </w:r>
    </w:p>
    <w:p>
      <w:r>
        <w:t>Require at least 3 heavyweights aligned.</w:t>
        <w:br/>
        <w:t>Correlation &gt;0.7 over last 30 minutes.</w:t>
      </w:r>
    </w:p>
    <w:p>
      <w:pPr>
        <w:pStyle w:val="Heading2"/>
      </w:pPr>
      <w:r>
        <w:t>Expiry Day Logic</w:t>
      </w:r>
    </w:p>
    <w:p>
      <w:r>
        <w:t>After 1:30 PM: VIX rising &gt;=3%, Multi-strike OI unwind, GEX negative, SSI positive.</w:t>
        <w:br/>
        <w:t>Avoid if premium extremely low, OI stable, VIX flat.</w:t>
      </w:r>
    </w:p>
    <w:p>
      <w:pPr>
        <w:pStyle w:val="Heading2"/>
      </w:pPr>
      <w:r>
        <w:t>Risk Governance</w:t>
      </w:r>
    </w:p>
    <w:p>
      <w:r>
        <w:t>Daily max risk 2%.</w:t>
        <w:br/>
        <w:t>Per trade risk 0.75%.</w:t>
        <w:br/>
        <w:t>Kill switch on 2 consecutive losses or regime flip.</w:t>
      </w:r>
    </w:p>
    <w:p>
      <w:pPr>
        <w:pStyle w:val="Heading2"/>
      </w:pPr>
      <w:r>
        <w:t>Production Architecture</w:t>
      </w:r>
    </w:p>
    <w:p>
      <w:r>
        <w:t>MQTT -&gt; Feature Engine -&gt; Gamma Engine -&gt; Seller Stress Engine -&gt; Gap Engine -&gt; ML Model -&gt; Risk -&gt; Execution -&gt;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